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4BD4B1" w14:textId="23BF8D46" w:rsidR="004245B5" w:rsidRDefault="00E664EB" w:rsidP="00EF39BE">
      <w:pPr>
        <w:pStyle w:val="Titre"/>
        <w:jc w:val="both"/>
        <w:rPr>
          <w:rFonts w:cs="Arial"/>
        </w:rPr>
      </w:pPr>
      <w:r>
        <w:rPr>
          <w:rFonts w:cs="Arial"/>
          <w:noProof/>
        </w:rPr>
        <mc:AlternateContent>
          <mc:Choice Requires="wps">
            <w:drawing>
              <wp:anchor distT="0" distB="0" distL="114300" distR="114300" simplePos="0" relativeHeight="251677696" behindDoc="0" locked="0" layoutInCell="1" allowOverlap="1" wp14:anchorId="134FECE4" wp14:editId="3B4EB503">
                <wp:simplePos x="0" y="0"/>
                <wp:positionH relativeFrom="column">
                  <wp:posOffset>245110</wp:posOffset>
                </wp:positionH>
                <wp:positionV relativeFrom="paragraph">
                  <wp:posOffset>925829</wp:posOffset>
                </wp:positionV>
                <wp:extent cx="5769610" cy="828675"/>
                <wp:effectExtent l="0" t="0" r="21590" b="28575"/>
                <wp:wrapNone/>
                <wp:docPr id="9" name="Zone de texte 10"/>
                <wp:cNvGraphicFramePr/>
                <a:graphic xmlns:a="http://schemas.openxmlformats.org/drawingml/2006/main">
                  <a:graphicData uri="http://schemas.microsoft.com/office/word/2010/wordprocessingShape">
                    <wps:wsp>
                      <wps:cNvSpPr txBox="1"/>
                      <wps:spPr bwMode="auto">
                        <a:xfrm>
                          <a:off x="0" y="0"/>
                          <a:ext cx="5769610" cy="828675"/>
                        </a:xfrm>
                        <a:prstGeom prst="rect">
                          <a:avLst/>
                        </a:prstGeom>
                        <a:solidFill>
                          <a:schemeClr val="lt1"/>
                        </a:solidFill>
                        <a:ln w="6350">
                          <a:solidFill>
                            <a:srgbClr val="292574"/>
                          </a:solidFill>
                        </a:ln>
                      </wps:spPr>
                      <wps:txbx>
                        <w:txbxContent>
                          <w:p w14:paraId="4239C8A0" w14:textId="0C0D8D6D" w:rsidR="00716D4E" w:rsidRDefault="00716D4E">
                            <w:pPr>
                              <w:ind w:left="284" w:right="196"/>
                              <w:jc w:val="left"/>
                              <w:rPr>
                                <w:b/>
                                <w:bCs/>
                                <w:sz w:val="48"/>
                                <w:szCs w:val="48"/>
                              </w:rPr>
                            </w:pPr>
                            <w:r>
                              <w:rPr>
                                <w:rFonts w:cs="Times New Roman (Titres CS)"/>
                                <w:b/>
                                <w:bCs/>
                                <w:sz w:val="48"/>
                                <w:szCs w:val="36"/>
                              </w:rPr>
                              <w:t>Cahier des clauses techniques particulières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4FECE4" id="_x0000_t202" coordsize="21600,21600" o:spt="202" path="m,l,21600r21600,l21600,xe">
                <v:stroke joinstyle="miter"/>
                <v:path gradientshapeok="t" o:connecttype="rect"/>
              </v:shapetype>
              <v:shape id="Zone de texte 10" o:spid="_x0000_s1026" type="#_x0000_t202" style="position:absolute;left:0;text-align:left;margin-left:19.3pt;margin-top:72.9pt;width:454.3pt;height:6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" fillcolor="white [3201]" strokecolor="#292574" strokeweight=".5pt">
                <v:textbox>
                  <w:txbxContent>
                    <w:p w14:paraId="4239C8A0" w14:textId="0C0D8D6D" w:rsidR="00716D4E" w:rsidRDefault="00716D4E">
                      <w:pPr>
                        <w:ind w:left="284" w:right="196"/>
                        <w:jc w:val="left"/>
                        <w:rPr>
                          <w:b/>
                          <w:bCs/>
                          <w:sz w:val="48"/>
                          <w:szCs w:val="48"/>
                        </w:rPr>
                      </w:pPr>
                      <w:r>
                        <w:rPr>
                          <w:rFonts w:cs="Times New Roman (Titres CS)"/>
                          <w:b/>
                          <w:bCs/>
                          <w:sz w:val="48"/>
                          <w:szCs w:val="36"/>
                        </w:rPr>
                        <w:t>Cahier des clauses techniques particulières</w:t>
                      </w:r>
                    </w:p>
                  </w:txbxContent>
                </v:textbox>
              </v:shape>
            </w:pict>
          </mc:Fallback>
        </mc:AlternateContent>
      </w:r>
      <w:r w:rsidR="004F4EFD">
        <w:rPr>
          <w:rFonts w:cs="Arial"/>
          <w:noProof/>
        </w:rPr>
        <mc:AlternateContent>
          <mc:Choice Requires="wpg">
            <w:drawing>
              <wp:anchor distT="0" distB="0" distL="114300" distR="114300" simplePos="0" relativeHeight="251672576" behindDoc="1" locked="0" layoutInCell="1" allowOverlap="1" wp14:anchorId="2F3D71F1" wp14:editId="6348E85D">
                <wp:simplePos x="0" y="0"/>
                <wp:positionH relativeFrom="column">
                  <wp:posOffset>502286</wp:posOffset>
                </wp:positionH>
                <wp:positionV relativeFrom="paragraph">
                  <wp:posOffset>1230630</wp:posOffset>
                </wp:positionV>
                <wp:extent cx="4400550" cy="514350"/>
                <wp:effectExtent l="0" t="0" r="0" b="0"/>
                <wp:wrapNone/>
                <wp:docPr id="10" name="Rectangle 22"/>
                <wp:cNvGraphicFramePr/>
                <a:graphic xmlns:a="http://schemas.openxmlformats.org/drawingml/2006/main">
                  <a:graphicData uri="http://schemas.microsoft.com/office/word/2010/wordprocessingShape">
                    <wps:wsp>
                      <wps:cNvSpPr/>
                      <wps:spPr bwMode="auto">
                        <a:xfrm>
                          <a:off x="0" y="0"/>
                          <a:ext cx="4400550" cy="5143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 o:spid="_x0000_s9" o:spt="1" type="#_x0000_t1" style="position:absolute;z-index:-251672576;o:allowoverlap:true;o:allowincell:true;mso-position-horizontal-relative:text;margin-left:39.55pt;mso-position-horizontal:absolute;mso-position-vertical-relative:text;margin-top:96.90pt;mso-position-vertical:absolute;width:346.50pt;height:40.50pt;mso-wrap-distance-left:9.00pt;mso-wrap-distance-top:0.00pt;mso-wrap-distance-right:9.00pt;mso-wrap-distance-bottom:0.00pt;visibility:visible;" fillcolor="#FFFFFF" stroked="f" strokeweight="1.00pt">
                <v:stroke dashstyle="solid"/>
              </v:shape>
            </w:pict>
          </mc:Fallback>
        </mc:AlternateContent>
      </w:r>
    </w:p>
    <w:p w14:paraId="6E2B76CB" w14:textId="069B784C" w:rsidR="004245B5" w:rsidRDefault="00E664EB" w:rsidP="00EF39BE">
      <w:pPr>
        <w:pStyle w:val="Sous-titre"/>
        <w:jc w:val="both"/>
        <w:rPr>
          <w:rFonts w:cs="Arial"/>
        </w:rPr>
      </w:pPr>
      <w:r>
        <w:rPr>
          <w:rFonts w:cs="Arial"/>
          <w:noProof/>
        </w:rPr>
        <mc:AlternateContent>
          <mc:Choice Requires="wps">
            <w:drawing>
              <wp:anchor distT="0" distB="0" distL="114300" distR="114300" simplePos="0" relativeHeight="251679744" behindDoc="0" locked="0" layoutInCell="1" allowOverlap="1" wp14:anchorId="7F07325D" wp14:editId="7470C420">
                <wp:simplePos x="0" y="0"/>
                <wp:positionH relativeFrom="column">
                  <wp:posOffset>254635</wp:posOffset>
                </wp:positionH>
                <wp:positionV relativeFrom="paragraph">
                  <wp:posOffset>94615</wp:posOffset>
                </wp:positionV>
                <wp:extent cx="5762625" cy="1447800"/>
                <wp:effectExtent l="0" t="0" r="9525" b="0"/>
                <wp:wrapNone/>
                <wp:docPr id="11" name="Zone de texte 10"/>
                <wp:cNvGraphicFramePr/>
                <a:graphic xmlns:a="http://schemas.openxmlformats.org/drawingml/2006/main">
                  <a:graphicData uri="http://schemas.microsoft.com/office/word/2010/wordprocessingShape">
                    <wps:wsp>
                      <wps:cNvSpPr txBox="1"/>
                      <wps:spPr bwMode="auto">
                        <a:xfrm>
                          <a:off x="0" y="0"/>
                          <a:ext cx="5762625" cy="1447800"/>
                        </a:xfrm>
                        <a:prstGeom prst="rect">
                          <a:avLst/>
                        </a:prstGeom>
                        <a:solidFill>
                          <a:schemeClr val="accent2"/>
                        </a:solidFill>
                        <a:ln w="6350">
                          <a:noFill/>
                        </a:ln>
                      </wps:spPr>
                      <wps:txbx>
                        <w:txbxContent>
                          <w:p w14:paraId="2EEB0B12" w14:textId="0A146C36" w:rsidR="00716D4E" w:rsidRDefault="00716D4E" w:rsidP="00FE5F30">
                            <w:pPr>
                              <w:ind w:left="142"/>
                              <w:jc w:val="center"/>
                              <w:rPr>
                                <w:rFonts w:cs="Times New Roman (Titres CS)"/>
                                <w:b/>
                                <w:bCs/>
                                <w:color w:val="FFFFFF" w:themeColor="background1"/>
                                <w:sz w:val="36"/>
                                <w:szCs w:val="30"/>
                              </w:rPr>
                            </w:pPr>
                            <w:r w:rsidRPr="00E664EB">
                              <w:rPr>
                                <w:rFonts w:cs="Times New Roman (Titres CS)"/>
                                <w:b/>
                                <w:bCs/>
                                <w:color w:val="FFFFFF" w:themeColor="background1"/>
                                <w:sz w:val="36"/>
                                <w:szCs w:val="30"/>
                              </w:rPr>
                              <w:t xml:space="preserve">Analyse de la vulnérabilité au changement climatique </w:t>
                            </w:r>
                            <w:r>
                              <w:rPr>
                                <w:rFonts w:cs="Times New Roman (Titres CS)"/>
                                <w:b/>
                                <w:bCs/>
                                <w:color w:val="FFFFFF" w:themeColor="background1"/>
                                <w:sz w:val="36"/>
                                <w:szCs w:val="30"/>
                              </w:rPr>
                              <w:t>et Stratégie de résilience</w:t>
                            </w:r>
                          </w:p>
                          <w:p w14:paraId="50DBCE07" w14:textId="4C880FB6" w:rsidR="00716D4E" w:rsidRDefault="00716D4E" w:rsidP="00FE5F30">
                            <w:pPr>
                              <w:ind w:left="142"/>
                              <w:jc w:val="center"/>
                              <w:rPr>
                                <w:rFonts w:cs="Times New Roman (Titres CS)"/>
                                <w:b/>
                                <w:bCs/>
                                <w:color w:val="FFFFFF" w:themeColor="background1"/>
                                <w:sz w:val="36"/>
                                <w:szCs w:val="30"/>
                              </w:rPr>
                            </w:pPr>
                            <w:r>
                              <w:rPr>
                                <w:rFonts w:cs="Times New Roman (Titres CS)"/>
                                <w:b/>
                                <w:bCs/>
                                <w:color w:val="FFFFFF" w:themeColor="background1"/>
                                <w:sz w:val="36"/>
                                <w:szCs w:val="30"/>
                              </w:rPr>
                              <w:t>du Grand Port Maritime de Guyane</w:t>
                            </w:r>
                          </w:p>
                          <w:p w14:paraId="1ACF8685" w14:textId="601BCEC1" w:rsidR="00716D4E" w:rsidRDefault="00716D4E" w:rsidP="00FE5F30">
                            <w:pPr>
                              <w:ind w:left="142"/>
                              <w:jc w:val="center"/>
                              <w:rPr>
                                <w:b/>
                                <w:bCs/>
                                <w:color w:val="FFFFFF" w:themeColor="background1"/>
                                <w:sz w:val="36"/>
                                <w:szCs w:val="36"/>
                              </w:rPr>
                            </w:pPr>
                            <w:r>
                              <w:rPr>
                                <w:b/>
                                <w:bCs/>
                                <w:color w:val="FFFFFF" w:themeColor="background1"/>
                                <w:sz w:val="36"/>
                                <w:szCs w:val="36"/>
                              </w:rPr>
                              <w:t>PAD-01-26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7325D" id="_x0000_s1027" type="#_x0000_t202" style="position:absolute;left:0;text-align:left;margin-left:20.05pt;margin-top:7.45pt;width:453.75pt;height:11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" fillcolor="#292574 [3205]" stroked="f" strokeweight=".5pt">
                <v:textbox>
                  <w:txbxContent>
                    <w:p w14:paraId="2EEB0B12" w14:textId="0A146C36" w:rsidR="00716D4E" w:rsidRDefault="00716D4E" w:rsidP="00FE5F30">
                      <w:pPr>
                        <w:ind w:left="142"/>
                        <w:jc w:val="center"/>
                        <w:rPr>
                          <w:rFonts w:cs="Times New Roman (Titres CS)"/>
                          <w:b/>
                          <w:bCs/>
                          <w:color w:val="FFFFFF" w:themeColor="background1"/>
                          <w:sz w:val="36"/>
                          <w:szCs w:val="30"/>
                        </w:rPr>
                      </w:pPr>
                      <w:r w:rsidRPr="00E664EB">
                        <w:rPr>
                          <w:rFonts w:cs="Times New Roman (Titres CS)"/>
                          <w:b/>
                          <w:bCs/>
                          <w:color w:val="FFFFFF" w:themeColor="background1"/>
                          <w:sz w:val="36"/>
                          <w:szCs w:val="30"/>
                        </w:rPr>
                        <w:t xml:space="preserve">Analyse de la vulnérabilité au changement climatique </w:t>
                      </w:r>
                      <w:r>
                        <w:rPr>
                          <w:rFonts w:cs="Times New Roman (Titres CS)"/>
                          <w:b/>
                          <w:bCs/>
                          <w:color w:val="FFFFFF" w:themeColor="background1"/>
                          <w:sz w:val="36"/>
                          <w:szCs w:val="30"/>
                        </w:rPr>
                        <w:t>et Stratégie de résilience</w:t>
                      </w:r>
                    </w:p>
                    <w:p w14:paraId="50DBCE07" w14:textId="4C880FB6" w:rsidR="00716D4E" w:rsidRDefault="00716D4E" w:rsidP="00FE5F30">
                      <w:pPr>
                        <w:ind w:left="142"/>
                        <w:jc w:val="center"/>
                        <w:rPr>
                          <w:rFonts w:cs="Times New Roman (Titres CS)"/>
                          <w:b/>
                          <w:bCs/>
                          <w:color w:val="FFFFFF" w:themeColor="background1"/>
                          <w:sz w:val="36"/>
                          <w:szCs w:val="30"/>
                        </w:rPr>
                      </w:pPr>
                      <w:proofErr w:type="gramStart"/>
                      <w:r>
                        <w:rPr>
                          <w:rFonts w:cs="Times New Roman (Titres CS)"/>
                          <w:b/>
                          <w:bCs/>
                          <w:color w:val="FFFFFF" w:themeColor="background1"/>
                          <w:sz w:val="36"/>
                          <w:szCs w:val="30"/>
                        </w:rPr>
                        <w:t>du</w:t>
                      </w:r>
                      <w:proofErr w:type="gramEnd"/>
                      <w:r>
                        <w:rPr>
                          <w:rFonts w:cs="Times New Roman (Titres CS)"/>
                          <w:b/>
                          <w:bCs/>
                          <w:color w:val="FFFFFF" w:themeColor="background1"/>
                          <w:sz w:val="36"/>
                          <w:szCs w:val="30"/>
                        </w:rPr>
                        <w:t xml:space="preserve"> Grand Port Maritime de Guyane</w:t>
                      </w:r>
                    </w:p>
                    <w:p w14:paraId="1ACF8685" w14:textId="601BCEC1" w:rsidR="00716D4E" w:rsidRDefault="00716D4E" w:rsidP="00FE5F30">
                      <w:pPr>
                        <w:ind w:left="142"/>
                        <w:jc w:val="center"/>
                        <w:rPr>
                          <w:b/>
                          <w:bCs/>
                          <w:color w:val="FFFFFF" w:themeColor="background1"/>
                          <w:sz w:val="36"/>
                          <w:szCs w:val="36"/>
                        </w:rPr>
                      </w:pPr>
                      <w:r>
                        <w:rPr>
                          <w:b/>
                          <w:bCs/>
                          <w:color w:val="FFFFFF" w:themeColor="background1"/>
                          <w:sz w:val="36"/>
                          <w:szCs w:val="36"/>
                        </w:rPr>
                        <w:t>PAD-01-26</w:t>
                      </w:r>
                    </w:p>
                  </w:txbxContent>
                </v:textbox>
              </v:shape>
            </w:pict>
          </mc:Fallback>
        </mc:AlternateContent>
      </w:r>
      <w:r w:rsidR="004F4EFD">
        <w:rPr>
          <w:rFonts w:cs="Arial"/>
        </w:rPr>
        <w:t xml:space="preserve"> </w:t>
      </w:r>
      <w:r w:rsidR="004F4EFD">
        <w:rPr>
          <w:rFonts w:cs="Arial"/>
        </w:rPr>
        <w:br/>
      </w:r>
      <w:r w:rsidR="004F4EFD">
        <w:rPr>
          <w:rFonts w:cs="Arial"/>
        </w:rPr>
        <w:br/>
      </w:r>
      <w:r w:rsidR="004F4EFD">
        <w:rPr>
          <w:rFonts w:cs="Arial"/>
        </w:rPr>
        <w:br/>
      </w:r>
    </w:p>
    <w:p w14:paraId="14794A8D" w14:textId="4AEAEE24" w:rsidR="004245B5" w:rsidRDefault="00FE5F30" w:rsidP="00EF39BE">
      <w:pPr>
        <w:pStyle w:val="Datecouv"/>
        <w:jc w:val="both"/>
        <w:rPr>
          <w:rFonts w:cs="Arial"/>
        </w:rPr>
        <w:sectPr w:rsidR="004245B5" w:rsidSect="00C66BB7">
          <w:footerReference w:type="default" r:id="rId8"/>
          <w:headerReference w:type="first" r:id="rId9"/>
          <w:pgSz w:w="11906" w:h="16838"/>
          <w:pgMar w:top="964" w:right="964" w:bottom="964" w:left="964" w:header="1814" w:footer="601" w:gutter="0"/>
          <w:cols w:space="708"/>
          <w:titlePg/>
          <w:docGrid w:linePitch="299"/>
        </w:sectPr>
      </w:pPr>
      <w:r>
        <w:rPr>
          <w:rFonts w:cs="Arial"/>
          <w:noProof/>
        </w:rPr>
        <mc:AlternateContent>
          <mc:Choice Requires="wps">
            <w:drawing>
              <wp:anchor distT="0" distB="0" distL="114300" distR="114300" simplePos="0" relativeHeight="251685888" behindDoc="1" locked="0" layoutInCell="1" allowOverlap="1" wp14:anchorId="4EF745CB" wp14:editId="1394C393">
                <wp:simplePos x="0" y="0"/>
                <wp:positionH relativeFrom="margin">
                  <wp:align>right</wp:align>
                </wp:positionH>
                <wp:positionV relativeFrom="paragraph">
                  <wp:posOffset>4277995</wp:posOffset>
                </wp:positionV>
                <wp:extent cx="1433830" cy="338455"/>
                <wp:effectExtent l="0" t="0" r="13970" b="23495"/>
                <wp:wrapNone/>
                <wp:docPr id="12" name="Rectangle 9"/>
                <wp:cNvGraphicFramePr/>
                <a:graphic xmlns:a="http://schemas.openxmlformats.org/drawingml/2006/main">
                  <a:graphicData uri="http://schemas.microsoft.com/office/word/2010/wordprocessingShape">
                    <wps:wsp>
                      <wps:cNvSpPr/>
                      <wps:spPr bwMode="auto">
                        <a:xfrm>
                          <a:off x="0" y="0"/>
                          <a:ext cx="1433830" cy="338455"/>
                        </a:xfrm>
                        <a:prstGeom prst="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49D280" w14:textId="21C1DA06" w:rsidR="00716D4E" w:rsidRDefault="00716D4E" w:rsidP="005B666B">
                            <w:pPr>
                              <w:ind w:left="284" w:right="257"/>
                              <w:jc w:val="right"/>
                              <w:rPr>
                                <w:color w:val="EF7757" w:themeColor="accent1"/>
                                <w:sz w:val="24"/>
                                <w:szCs w:val="24"/>
                              </w:rPr>
                            </w:pPr>
                            <w:r>
                              <w:rPr>
                                <w:color w:val="EF7757" w:themeColor="accent1"/>
                                <w:sz w:val="24"/>
                                <w:szCs w:val="24"/>
                              </w:rPr>
                              <w:t>Juillet 2026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F745CB" id="Rectangle 9" o:spid="_x0000_s1028" style="position:absolute;left:0;text-align:left;margin-left:61.7pt;margin-top:336.85pt;width:112.9pt;height:26.65pt;z-index:-2516305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" fillcolor="white [3212]" strokecolor="#ef7757 [3204]" strokeweight="1pt">
                <v:textbox>
                  <w:txbxContent>
                    <w:p w14:paraId="7749D280" w14:textId="21C1DA06" w:rsidR="00716D4E" w:rsidRDefault="00716D4E" w:rsidP="005B666B">
                      <w:pPr>
                        <w:ind w:left="284" w:right="257"/>
                        <w:jc w:val="right"/>
                        <w:rPr>
                          <w:color w:val="EF7757" w:themeColor="accent1"/>
                          <w:sz w:val="24"/>
                          <w:szCs w:val="24"/>
                        </w:rPr>
                      </w:pPr>
                      <w:r>
                        <w:rPr>
                          <w:color w:val="EF7757" w:themeColor="accent1"/>
                          <w:sz w:val="24"/>
                          <w:szCs w:val="24"/>
                        </w:rPr>
                        <w:t>Juillet 2026</w:t>
                      </w:r>
                    </w:p>
                  </w:txbxContent>
                </v:textbox>
                <w10:wrap anchorx="margin"/>
              </v:rect>
            </w:pict>
          </mc:Fallback>
        </mc:AlternateContent>
      </w:r>
      <w:r w:rsidR="00D20C75" w:rsidRPr="00D20C75">
        <w:rPr>
          <w:noProof/>
        </w:rPr>
        <w:drawing>
          <wp:anchor distT="0" distB="0" distL="114300" distR="114300" simplePos="0" relativeHeight="251747328" behindDoc="0" locked="0" layoutInCell="1" allowOverlap="1" wp14:anchorId="2A438C6B" wp14:editId="640AABA8">
            <wp:simplePos x="0" y="0"/>
            <wp:positionH relativeFrom="margin">
              <wp:posOffset>83185</wp:posOffset>
            </wp:positionH>
            <wp:positionV relativeFrom="paragraph">
              <wp:posOffset>4224020</wp:posOffset>
            </wp:positionV>
            <wp:extent cx="2552700" cy="1801842"/>
            <wp:effectExtent l="0" t="0" r="0" b="8255"/>
            <wp:wrapThrough wrapText="bothSides">
              <wp:wrapPolygon edited="0">
                <wp:start x="0" y="0"/>
                <wp:lineTo x="0" y="21471"/>
                <wp:lineTo x="21439" y="21471"/>
                <wp:lineTo x="21439" y="0"/>
                <wp:lineTo x="0" y="0"/>
              </wp:wrapPolygon>
            </wp:wrapThrough>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54369" cy="1803020"/>
                    </a:xfrm>
                    <a:prstGeom prst="rect">
                      <a:avLst/>
                    </a:prstGeom>
                  </pic:spPr>
                </pic:pic>
              </a:graphicData>
            </a:graphic>
            <wp14:sizeRelH relativeFrom="margin">
              <wp14:pctWidth>0</wp14:pctWidth>
            </wp14:sizeRelH>
            <wp14:sizeRelV relativeFrom="margin">
              <wp14:pctHeight>0</wp14:pctHeight>
            </wp14:sizeRelV>
          </wp:anchor>
        </w:drawing>
      </w:r>
      <w:r w:rsidR="00D20C75">
        <w:rPr>
          <w:rFonts w:cs="Arial"/>
          <w:noProof/>
        </w:rPr>
        <mc:AlternateContent>
          <mc:Choice Requires="wps">
            <w:drawing>
              <wp:anchor distT="0" distB="0" distL="114300" distR="114300" simplePos="0" relativeHeight="251684864" behindDoc="1" locked="0" layoutInCell="1" allowOverlap="1" wp14:anchorId="70072076" wp14:editId="2BEB06EB">
                <wp:simplePos x="0" y="0"/>
                <wp:positionH relativeFrom="column">
                  <wp:posOffset>4551680</wp:posOffset>
                </wp:positionH>
                <wp:positionV relativeFrom="paragraph">
                  <wp:posOffset>3924300</wp:posOffset>
                </wp:positionV>
                <wp:extent cx="1981200" cy="520700"/>
                <wp:effectExtent l="0" t="0" r="0" b="0"/>
                <wp:wrapNone/>
                <wp:docPr id="13" name="Rectangle 8"/>
                <wp:cNvGraphicFramePr/>
                <a:graphic xmlns:a="http://schemas.openxmlformats.org/drawingml/2006/main">
                  <a:graphicData uri="http://schemas.microsoft.com/office/word/2010/wordprocessingShape">
                    <wps:wsp>
                      <wps:cNvSpPr/>
                      <wps:spPr bwMode="auto">
                        <a:xfrm>
                          <a:off x="0" y="0"/>
                          <a:ext cx="1981200" cy="5207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3F537D" w14:textId="221D4BF2" w:rsidR="00716D4E" w:rsidRDefault="00716D4E" w:rsidP="00867949">
                            <w:pPr>
                              <w:ind w:left="284" w:right="81"/>
                              <w:jc w:val="center"/>
                              <w:rPr>
                                <w:color w:val="FFFFFF" w:themeColor="background1"/>
                                <w:sz w:val="32"/>
                                <w:szCs w:val="32"/>
                              </w:rPr>
                            </w:pPr>
                            <w:r>
                              <w:rPr>
                                <w:color w:val="FFFFFF" w:themeColor="background1"/>
                                <w:sz w:val="32"/>
                                <w:szCs w:val="32"/>
                              </w:rPr>
                              <w:t>CCTP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072076" id="Rectangle 8" o:spid="_x0000_s1029" style="position:absolute;left:0;text-align:left;margin-left:358.4pt;margin-top:309pt;width:156pt;height:41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" fillcolor="#ef7757 [3204]" stroked="f" strokeweight="1pt">
                <v:textbox>
                  <w:txbxContent>
                    <w:p w14:paraId="123F537D" w14:textId="221D4BF2" w:rsidR="00716D4E" w:rsidRDefault="00716D4E" w:rsidP="00867949">
                      <w:pPr>
                        <w:ind w:left="284" w:right="81"/>
                        <w:jc w:val="center"/>
                        <w:rPr>
                          <w:color w:val="FFFFFF" w:themeColor="background1"/>
                          <w:sz w:val="32"/>
                          <w:szCs w:val="32"/>
                        </w:rPr>
                      </w:pPr>
                      <w:r>
                        <w:rPr>
                          <w:color w:val="FFFFFF" w:themeColor="background1"/>
                          <w:sz w:val="32"/>
                          <w:szCs w:val="32"/>
                        </w:rPr>
                        <w:t>CCTP</w:t>
                      </w:r>
                    </w:p>
                  </w:txbxContent>
                </v:textbox>
              </v:rect>
            </w:pict>
          </mc:Fallback>
        </mc:AlternateContent>
      </w:r>
      <w:r w:rsidR="004F4EFD">
        <w:rPr>
          <w:rFonts w:cs="Arial"/>
          <w:noProof/>
        </w:rPr>
        <mc:AlternateContent>
          <mc:Choice Requires="wps">
            <w:drawing>
              <wp:anchor distT="0" distB="0" distL="114300" distR="114300" simplePos="0" relativeHeight="251681792" behindDoc="1" locked="0" layoutInCell="1" allowOverlap="1" wp14:anchorId="1B057BAF" wp14:editId="3C66BB98">
                <wp:simplePos x="0" y="0"/>
                <wp:positionH relativeFrom="column">
                  <wp:posOffset>5401945</wp:posOffset>
                </wp:positionH>
                <wp:positionV relativeFrom="paragraph">
                  <wp:posOffset>5810250</wp:posOffset>
                </wp:positionV>
                <wp:extent cx="1095160" cy="656394"/>
                <wp:effectExtent l="0" t="0" r="0" b="4445"/>
                <wp:wrapNone/>
                <wp:docPr id="14" name="Rectangle 917542144"/>
                <wp:cNvGraphicFramePr/>
                <a:graphic xmlns:a="http://schemas.openxmlformats.org/drawingml/2006/main">
                  <a:graphicData uri="http://schemas.microsoft.com/office/word/2010/wordprocessingShape">
                    <wps:wsp>
                      <wps:cNvSpPr/>
                      <wps:spPr bwMode="auto">
                        <a:xfrm>
                          <a:off x="0" y="0"/>
                          <a:ext cx="1095160" cy="65639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8D6D5E" w14:textId="3DCFB19B" w:rsidR="00716D4E" w:rsidRDefault="00716D4E">
                            <w:pPr>
                              <w:jc w:val="center"/>
                              <w:rPr>
                                <w:color w:val="EF7757" w:themeColor="accen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057BAF" id="Rectangle 917542144" o:spid="_x0000_s1030" style="position:absolute;left:0;text-align:left;margin-left:425.35pt;margin-top:457.5pt;width:86.25pt;height:51.7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" fillcolor="white [3212]" stroked="f" strokeweight="1pt">
                <v:textbox>
                  <w:txbxContent>
                    <w:p w14:paraId="248D6D5E" w14:textId="3DCFB19B" w:rsidR="00716D4E" w:rsidRDefault="00716D4E">
                      <w:pPr>
                        <w:jc w:val="center"/>
                        <w:rPr>
                          <w:color w:val="EF7757" w:themeColor="accent1"/>
                          <w:sz w:val="24"/>
                          <w:szCs w:val="24"/>
                        </w:rPr>
                      </w:pPr>
                    </w:p>
                  </w:txbxContent>
                </v:textbox>
              </v:rect>
            </w:pict>
          </mc:Fallback>
        </mc:AlternateContent>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r w:rsidR="004F4EFD">
        <w:rPr>
          <w:rFonts w:cs="Arial"/>
        </w:rPr>
        <w:br/>
      </w:r>
    </w:p>
    <w:p w14:paraId="733238F1" w14:textId="77777777" w:rsidR="004245B5" w:rsidRDefault="004F4EFD" w:rsidP="00EF39BE">
      <w:pPr>
        <w:pBdr>
          <w:between w:val="single" w:sz="4" w:space="1" w:color="EF7757" w:themeColor="accent1"/>
        </w:pBdr>
        <w:rPr>
          <w:rFonts w:cs="Arial"/>
          <w:b/>
          <w:bCs/>
          <w:sz w:val="36"/>
          <w:szCs w:val="36"/>
        </w:rPr>
      </w:pPr>
      <w:r>
        <w:rPr>
          <w:rFonts w:cs="Arial"/>
          <w:b/>
          <w:bCs/>
          <w:sz w:val="56"/>
          <w:szCs w:val="56"/>
          <w14:textFill>
            <w14:gradFill>
              <w14:gsLst>
                <w14:gs w14:pos="0">
                  <w14:schemeClr w14:val="accent2"/>
                </w14:gs>
                <w14:gs w14:pos="100000">
                  <w14:schemeClr w14:val="accent1"/>
                </w14:gs>
              </w14:gsLst>
              <w14:lin w14:ang="0" w14:scaled="0"/>
            </w14:gradFill>
          </w14:textFill>
        </w:rPr>
        <w:lastRenderedPageBreak/>
        <w:t>SOMMAIRE</w:t>
      </w:r>
      <w:r>
        <w:rPr>
          <w:rFonts w:cs="Arial"/>
          <w:b/>
          <w:bCs/>
          <w:sz w:val="36"/>
          <w:szCs w:val="36"/>
        </w:rPr>
        <w:t xml:space="preserve"> </w:t>
      </w:r>
    </w:p>
    <w:p w14:paraId="68BF74DA" w14:textId="77777777" w:rsidR="004245B5" w:rsidRDefault="004245B5" w:rsidP="00EF39BE">
      <w:pPr>
        <w:pStyle w:val="TM1"/>
        <w:shd w:val="clear" w:color="FFFFFF" w:themeColor="background1" w:fill="FFFFFF" w:themeFill="background1"/>
        <w:rPr>
          <w:rFonts w:asciiTheme="minorHAnsi" w:eastAsiaTheme="minorEastAsia" w:hAnsiTheme="minorHAnsi"/>
          <w:b w:val="0"/>
          <w:color w:val="auto"/>
          <w:sz w:val="24"/>
          <w:szCs w:val="24"/>
          <w:lang w:eastAsia="fr-FR"/>
          <w14:ligatures w14:val="standardContextual"/>
        </w:rPr>
      </w:pPr>
    </w:p>
    <w:p w14:paraId="13F2C06A" w14:textId="77777777" w:rsidR="004245B5" w:rsidRDefault="004245B5" w:rsidP="00EF39BE">
      <w:pPr>
        <w:pStyle w:val="TM1"/>
        <w:shd w:val="clear" w:color="FFFFFF" w:themeColor="background1" w:fill="FFFFFF" w:themeFill="background1"/>
        <w:rPr>
          <w:rFonts w:asciiTheme="minorHAnsi" w:eastAsiaTheme="minorEastAsia" w:hAnsiTheme="minorHAnsi"/>
          <w14:ligatures w14:val="standardContextual"/>
        </w:rPr>
      </w:pPr>
    </w:p>
    <w:p w14:paraId="2086FC8F" w14:textId="06FF9655" w:rsidR="000D7048" w:rsidRDefault="004F4EFD">
      <w:pPr>
        <w:pStyle w:val="TM1"/>
        <w:rPr>
          <w:rFonts w:asciiTheme="minorHAnsi" w:eastAsiaTheme="minorEastAsia" w:hAnsiTheme="minorHAnsi"/>
          <w:b w:val="0"/>
          <w:noProof/>
          <w:color w:val="auto"/>
          <w:sz w:val="22"/>
          <w:lang w:eastAsia="fr-FR"/>
        </w:rPr>
      </w:pPr>
      <w:r>
        <w:rPr>
          <w:rFonts w:cs="Arial"/>
        </w:rPr>
        <w:fldChar w:fldCharType="begin"/>
      </w:r>
      <w:r>
        <w:rPr>
          <w:rFonts w:cs="Arial"/>
        </w:rPr>
        <w:instrText xml:space="preserve"> TOC \o "1-3" \h \z \u </w:instrText>
      </w:r>
      <w:r>
        <w:rPr>
          <w:rFonts w:cs="Arial"/>
        </w:rPr>
        <w:fldChar w:fldCharType="separate"/>
      </w:r>
      <w:hyperlink w:anchor="_Toc235518159" w:history="1">
        <w:r w:rsidR="000D7048" w:rsidRPr="001C65F4">
          <w:rPr>
            <w:rStyle w:val="Lienhypertexte"/>
            <w:rFonts w:cs="Arial"/>
            <w:noProof/>
          </w:rPr>
          <w:t>1</w:t>
        </w:r>
        <w:r w:rsidR="000D7048">
          <w:rPr>
            <w:rFonts w:asciiTheme="minorHAnsi" w:eastAsiaTheme="minorEastAsia" w:hAnsiTheme="minorHAnsi"/>
            <w:b w:val="0"/>
            <w:noProof/>
            <w:color w:val="auto"/>
            <w:sz w:val="22"/>
            <w:lang w:eastAsia="fr-FR"/>
          </w:rPr>
          <w:tab/>
        </w:r>
        <w:r w:rsidR="000D7048" w:rsidRPr="001C65F4">
          <w:rPr>
            <w:rStyle w:val="Lienhypertexte"/>
            <w:rFonts w:cs="Arial"/>
            <w:noProof/>
          </w:rPr>
          <w:t>Introduction</w:t>
        </w:r>
        <w:r w:rsidR="000D7048">
          <w:rPr>
            <w:noProof/>
            <w:webHidden/>
          </w:rPr>
          <w:tab/>
        </w:r>
        <w:r w:rsidR="000D7048">
          <w:rPr>
            <w:noProof/>
            <w:webHidden/>
          </w:rPr>
          <w:fldChar w:fldCharType="begin"/>
        </w:r>
        <w:r w:rsidR="000D7048">
          <w:rPr>
            <w:noProof/>
            <w:webHidden/>
          </w:rPr>
          <w:instrText xml:space="preserve"> PAGEREF _Toc235518159 \h </w:instrText>
        </w:r>
        <w:r w:rsidR="000D7048">
          <w:rPr>
            <w:noProof/>
            <w:webHidden/>
          </w:rPr>
        </w:r>
        <w:r w:rsidR="000D7048">
          <w:rPr>
            <w:noProof/>
            <w:webHidden/>
          </w:rPr>
          <w:fldChar w:fldCharType="separate"/>
        </w:r>
        <w:r w:rsidR="000D7048">
          <w:rPr>
            <w:noProof/>
            <w:webHidden/>
          </w:rPr>
          <w:t>5</w:t>
        </w:r>
        <w:r w:rsidR="000D7048">
          <w:rPr>
            <w:noProof/>
            <w:webHidden/>
          </w:rPr>
          <w:fldChar w:fldCharType="end"/>
        </w:r>
      </w:hyperlink>
    </w:p>
    <w:p w14:paraId="7593AA93" w14:textId="2C4F2F3C"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0" w:history="1">
        <w:r w:rsidRPr="001C65F4">
          <w:rPr>
            <w:rStyle w:val="Lienhypertexte"/>
            <w:noProof/>
            <w14:scene3d>
              <w14:camera w14:prst="orthographicFront"/>
              <w14:lightRig w14:rig="threePt" w14:dir="t">
                <w14:rot w14:lat="0" w14:lon="0" w14:rev="0"/>
              </w14:lightRig>
            </w14:scene3d>
          </w:rPr>
          <w:t>1.1</w:t>
        </w:r>
        <w:r>
          <w:rPr>
            <w:rFonts w:asciiTheme="minorHAnsi" w:eastAsiaTheme="minorEastAsia" w:hAnsiTheme="minorHAnsi"/>
            <w:b w:val="0"/>
            <w:noProof/>
            <w:color w:val="auto"/>
            <w:sz w:val="22"/>
            <w:lang w:eastAsia="fr-FR"/>
          </w:rPr>
          <w:tab/>
        </w:r>
        <w:r w:rsidRPr="001C65F4">
          <w:rPr>
            <w:rStyle w:val="Lienhypertexte"/>
            <w:noProof/>
          </w:rPr>
          <w:t>Contexte de l’étude</w:t>
        </w:r>
        <w:r>
          <w:rPr>
            <w:noProof/>
            <w:webHidden/>
          </w:rPr>
          <w:tab/>
        </w:r>
        <w:r>
          <w:rPr>
            <w:noProof/>
            <w:webHidden/>
          </w:rPr>
          <w:fldChar w:fldCharType="begin"/>
        </w:r>
        <w:r>
          <w:rPr>
            <w:noProof/>
            <w:webHidden/>
          </w:rPr>
          <w:instrText xml:space="preserve"> PAGEREF _Toc235518160 \h </w:instrText>
        </w:r>
        <w:r>
          <w:rPr>
            <w:noProof/>
            <w:webHidden/>
          </w:rPr>
        </w:r>
        <w:r>
          <w:rPr>
            <w:noProof/>
            <w:webHidden/>
          </w:rPr>
          <w:fldChar w:fldCharType="separate"/>
        </w:r>
        <w:r>
          <w:rPr>
            <w:noProof/>
            <w:webHidden/>
          </w:rPr>
          <w:t>5</w:t>
        </w:r>
        <w:r>
          <w:rPr>
            <w:noProof/>
            <w:webHidden/>
          </w:rPr>
          <w:fldChar w:fldCharType="end"/>
        </w:r>
      </w:hyperlink>
    </w:p>
    <w:p w14:paraId="3D03C52F" w14:textId="00D908F2"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1" w:history="1">
        <w:r w:rsidRPr="001C65F4">
          <w:rPr>
            <w:rStyle w:val="Lienhypertexte"/>
            <w:noProof/>
            <w14:scene3d>
              <w14:camera w14:prst="orthographicFront"/>
              <w14:lightRig w14:rig="threePt" w14:dir="t">
                <w14:rot w14:lat="0" w14:lon="0" w14:rev="0"/>
              </w14:lightRig>
            </w14:scene3d>
          </w:rPr>
          <w:t>1.2</w:t>
        </w:r>
        <w:r>
          <w:rPr>
            <w:rFonts w:asciiTheme="minorHAnsi" w:eastAsiaTheme="minorEastAsia" w:hAnsiTheme="minorHAnsi"/>
            <w:b w:val="0"/>
            <w:noProof/>
            <w:color w:val="auto"/>
            <w:sz w:val="22"/>
            <w:lang w:eastAsia="fr-FR"/>
          </w:rPr>
          <w:tab/>
        </w:r>
        <w:r w:rsidRPr="001C65F4">
          <w:rPr>
            <w:rStyle w:val="Lienhypertexte"/>
            <w:noProof/>
          </w:rPr>
          <w:t>Objectifs attendus par le GPMG</w:t>
        </w:r>
        <w:r>
          <w:rPr>
            <w:noProof/>
            <w:webHidden/>
          </w:rPr>
          <w:tab/>
        </w:r>
        <w:r>
          <w:rPr>
            <w:noProof/>
            <w:webHidden/>
          </w:rPr>
          <w:fldChar w:fldCharType="begin"/>
        </w:r>
        <w:r>
          <w:rPr>
            <w:noProof/>
            <w:webHidden/>
          </w:rPr>
          <w:instrText xml:space="preserve"> PAGEREF _Toc235518161 \h </w:instrText>
        </w:r>
        <w:r>
          <w:rPr>
            <w:noProof/>
            <w:webHidden/>
          </w:rPr>
        </w:r>
        <w:r>
          <w:rPr>
            <w:noProof/>
            <w:webHidden/>
          </w:rPr>
          <w:fldChar w:fldCharType="separate"/>
        </w:r>
        <w:r>
          <w:rPr>
            <w:noProof/>
            <w:webHidden/>
          </w:rPr>
          <w:t>6</w:t>
        </w:r>
        <w:r>
          <w:rPr>
            <w:noProof/>
            <w:webHidden/>
          </w:rPr>
          <w:fldChar w:fldCharType="end"/>
        </w:r>
      </w:hyperlink>
    </w:p>
    <w:p w14:paraId="54B0789C" w14:textId="18C5CA91"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2" w:history="1">
        <w:r w:rsidRPr="001C65F4">
          <w:rPr>
            <w:rStyle w:val="Lienhypertexte"/>
            <w:noProof/>
            <w14:scene3d>
              <w14:camera w14:prst="orthographicFront"/>
              <w14:lightRig w14:rig="threePt" w14:dir="t">
                <w14:rot w14:lat="0" w14:lon="0" w14:rev="0"/>
              </w14:lightRig>
            </w14:scene3d>
          </w:rPr>
          <w:t>1.3</w:t>
        </w:r>
        <w:r>
          <w:rPr>
            <w:rFonts w:asciiTheme="minorHAnsi" w:eastAsiaTheme="minorEastAsia" w:hAnsiTheme="minorHAnsi"/>
            <w:b w:val="0"/>
            <w:noProof/>
            <w:color w:val="auto"/>
            <w:sz w:val="22"/>
            <w:lang w:eastAsia="fr-FR"/>
          </w:rPr>
          <w:tab/>
        </w:r>
        <w:r w:rsidRPr="001C65F4">
          <w:rPr>
            <w:rStyle w:val="Lienhypertexte"/>
            <w:noProof/>
          </w:rPr>
          <w:t>Allotissement</w:t>
        </w:r>
        <w:r>
          <w:rPr>
            <w:noProof/>
            <w:webHidden/>
          </w:rPr>
          <w:tab/>
        </w:r>
        <w:r>
          <w:rPr>
            <w:noProof/>
            <w:webHidden/>
          </w:rPr>
          <w:fldChar w:fldCharType="begin"/>
        </w:r>
        <w:r>
          <w:rPr>
            <w:noProof/>
            <w:webHidden/>
          </w:rPr>
          <w:instrText xml:space="preserve"> PAGEREF _Toc235518162 \h </w:instrText>
        </w:r>
        <w:r>
          <w:rPr>
            <w:noProof/>
            <w:webHidden/>
          </w:rPr>
        </w:r>
        <w:r>
          <w:rPr>
            <w:noProof/>
            <w:webHidden/>
          </w:rPr>
          <w:fldChar w:fldCharType="separate"/>
        </w:r>
        <w:r>
          <w:rPr>
            <w:noProof/>
            <w:webHidden/>
          </w:rPr>
          <w:t>8</w:t>
        </w:r>
        <w:r>
          <w:rPr>
            <w:noProof/>
            <w:webHidden/>
          </w:rPr>
          <w:fldChar w:fldCharType="end"/>
        </w:r>
      </w:hyperlink>
    </w:p>
    <w:p w14:paraId="110FDF07" w14:textId="16694E68"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3" w:history="1">
        <w:r w:rsidRPr="001C65F4">
          <w:rPr>
            <w:rStyle w:val="Lienhypertexte"/>
            <w:noProof/>
            <w14:scene3d>
              <w14:camera w14:prst="orthographicFront"/>
              <w14:lightRig w14:rig="threePt" w14:dir="t">
                <w14:rot w14:lat="0" w14:lon="0" w14:rev="0"/>
              </w14:lightRig>
            </w14:scene3d>
          </w:rPr>
          <w:t>1.4</w:t>
        </w:r>
        <w:r>
          <w:rPr>
            <w:rFonts w:asciiTheme="minorHAnsi" w:eastAsiaTheme="minorEastAsia" w:hAnsiTheme="minorHAnsi"/>
            <w:b w:val="0"/>
            <w:noProof/>
            <w:color w:val="auto"/>
            <w:sz w:val="22"/>
            <w:lang w:eastAsia="fr-FR"/>
          </w:rPr>
          <w:tab/>
        </w:r>
        <w:r w:rsidRPr="001C65F4">
          <w:rPr>
            <w:rStyle w:val="Lienhypertexte"/>
            <w:noProof/>
          </w:rPr>
          <w:t>Objet du marché</w:t>
        </w:r>
        <w:r>
          <w:rPr>
            <w:noProof/>
            <w:webHidden/>
          </w:rPr>
          <w:tab/>
        </w:r>
        <w:r>
          <w:rPr>
            <w:noProof/>
            <w:webHidden/>
          </w:rPr>
          <w:fldChar w:fldCharType="begin"/>
        </w:r>
        <w:r>
          <w:rPr>
            <w:noProof/>
            <w:webHidden/>
          </w:rPr>
          <w:instrText xml:space="preserve"> PAGEREF _Toc235518163 \h </w:instrText>
        </w:r>
        <w:r>
          <w:rPr>
            <w:noProof/>
            <w:webHidden/>
          </w:rPr>
        </w:r>
        <w:r>
          <w:rPr>
            <w:noProof/>
            <w:webHidden/>
          </w:rPr>
          <w:fldChar w:fldCharType="separate"/>
        </w:r>
        <w:r>
          <w:rPr>
            <w:noProof/>
            <w:webHidden/>
          </w:rPr>
          <w:t>8</w:t>
        </w:r>
        <w:r>
          <w:rPr>
            <w:noProof/>
            <w:webHidden/>
          </w:rPr>
          <w:fldChar w:fldCharType="end"/>
        </w:r>
      </w:hyperlink>
    </w:p>
    <w:p w14:paraId="28EBC7AA" w14:textId="6A80D121"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4" w:history="1">
        <w:r w:rsidRPr="001C65F4">
          <w:rPr>
            <w:rStyle w:val="Lienhypertexte"/>
            <w:rFonts w:cs="Arial"/>
            <w:noProof/>
            <w14:scene3d>
              <w14:camera w14:prst="orthographicFront"/>
              <w14:lightRig w14:rig="threePt" w14:dir="t">
                <w14:rot w14:lat="0" w14:lon="0" w14:rev="0"/>
              </w14:lightRig>
            </w14:scene3d>
          </w:rPr>
          <w:t>1.5</w:t>
        </w:r>
        <w:r>
          <w:rPr>
            <w:rFonts w:asciiTheme="minorHAnsi" w:eastAsiaTheme="minorEastAsia" w:hAnsiTheme="minorHAnsi"/>
            <w:b w:val="0"/>
            <w:noProof/>
            <w:color w:val="auto"/>
            <w:sz w:val="22"/>
            <w:lang w:eastAsia="fr-FR"/>
          </w:rPr>
          <w:tab/>
        </w:r>
        <w:r w:rsidRPr="001C65F4">
          <w:rPr>
            <w:rStyle w:val="Lienhypertexte"/>
            <w:rFonts w:cs="Arial"/>
            <w:noProof/>
          </w:rPr>
          <w:t>Contexte climatique</w:t>
        </w:r>
        <w:r>
          <w:rPr>
            <w:noProof/>
            <w:webHidden/>
          </w:rPr>
          <w:tab/>
        </w:r>
        <w:r>
          <w:rPr>
            <w:noProof/>
            <w:webHidden/>
          </w:rPr>
          <w:fldChar w:fldCharType="begin"/>
        </w:r>
        <w:r>
          <w:rPr>
            <w:noProof/>
            <w:webHidden/>
          </w:rPr>
          <w:instrText xml:space="preserve"> PAGEREF _Toc235518164 \h </w:instrText>
        </w:r>
        <w:r>
          <w:rPr>
            <w:noProof/>
            <w:webHidden/>
          </w:rPr>
        </w:r>
        <w:r>
          <w:rPr>
            <w:noProof/>
            <w:webHidden/>
          </w:rPr>
          <w:fldChar w:fldCharType="separate"/>
        </w:r>
        <w:r>
          <w:rPr>
            <w:noProof/>
            <w:webHidden/>
          </w:rPr>
          <w:t>8</w:t>
        </w:r>
        <w:r>
          <w:rPr>
            <w:noProof/>
            <w:webHidden/>
          </w:rPr>
          <w:fldChar w:fldCharType="end"/>
        </w:r>
      </w:hyperlink>
    </w:p>
    <w:p w14:paraId="7857A078" w14:textId="6356C205"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5" w:history="1">
        <w:r w:rsidRPr="001C65F4">
          <w:rPr>
            <w:rStyle w:val="Lienhypertexte"/>
            <w:noProof/>
            <w14:scene3d>
              <w14:camera w14:prst="orthographicFront"/>
              <w14:lightRig w14:rig="threePt" w14:dir="t">
                <w14:rot w14:lat="0" w14:lon="0" w14:rev="0"/>
              </w14:lightRig>
            </w14:scene3d>
          </w:rPr>
          <w:t>1.6</w:t>
        </w:r>
        <w:r>
          <w:rPr>
            <w:rFonts w:asciiTheme="minorHAnsi" w:eastAsiaTheme="minorEastAsia" w:hAnsiTheme="minorHAnsi"/>
            <w:b w:val="0"/>
            <w:noProof/>
            <w:color w:val="auto"/>
            <w:sz w:val="22"/>
            <w:lang w:eastAsia="fr-FR"/>
          </w:rPr>
          <w:tab/>
        </w:r>
        <w:r w:rsidRPr="001C65F4">
          <w:rPr>
            <w:rStyle w:val="Lienhypertexte"/>
            <w:noProof/>
          </w:rPr>
          <w:t>Principe méthodologique de la démarche d’adaptation</w:t>
        </w:r>
        <w:r>
          <w:rPr>
            <w:noProof/>
            <w:webHidden/>
          </w:rPr>
          <w:tab/>
        </w:r>
        <w:r>
          <w:rPr>
            <w:noProof/>
            <w:webHidden/>
          </w:rPr>
          <w:fldChar w:fldCharType="begin"/>
        </w:r>
        <w:r>
          <w:rPr>
            <w:noProof/>
            <w:webHidden/>
          </w:rPr>
          <w:instrText xml:space="preserve"> PAGEREF _Toc235518165 \h </w:instrText>
        </w:r>
        <w:r>
          <w:rPr>
            <w:noProof/>
            <w:webHidden/>
          </w:rPr>
        </w:r>
        <w:r>
          <w:rPr>
            <w:noProof/>
            <w:webHidden/>
          </w:rPr>
          <w:fldChar w:fldCharType="separate"/>
        </w:r>
        <w:r>
          <w:rPr>
            <w:noProof/>
            <w:webHidden/>
          </w:rPr>
          <w:t>10</w:t>
        </w:r>
        <w:r>
          <w:rPr>
            <w:noProof/>
            <w:webHidden/>
          </w:rPr>
          <w:fldChar w:fldCharType="end"/>
        </w:r>
      </w:hyperlink>
    </w:p>
    <w:p w14:paraId="54B40205" w14:textId="14723565"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6" w:history="1">
        <w:r w:rsidRPr="001C65F4">
          <w:rPr>
            <w:rStyle w:val="Lienhypertexte"/>
            <w:rFonts w:cs="Arial"/>
            <w:noProof/>
            <w14:scene3d>
              <w14:camera w14:prst="orthographicFront"/>
              <w14:lightRig w14:rig="threePt" w14:dir="t">
                <w14:rot w14:lat="0" w14:lon="0" w14:rev="0"/>
              </w14:lightRig>
            </w14:scene3d>
          </w:rPr>
          <w:t>1.7</w:t>
        </w:r>
        <w:r>
          <w:rPr>
            <w:rFonts w:asciiTheme="minorHAnsi" w:eastAsiaTheme="minorEastAsia" w:hAnsiTheme="minorHAnsi"/>
            <w:b w:val="0"/>
            <w:noProof/>
            <w:color w:val="auto"/>
            <w:sz w:val="22"/>
            <w:lang w:eastAsia="fr-FR"/>
          </w:rPr>
          <w:tab/>
        </w:r>
        <w:r w:rsidRPr="001C65F4">
          <w:rPr>
            <w:rStyle w:val="Lienhypertexte"/>
            <w:rFonts w:cs="Arial"/>
            <w:noProof/>
          </w:rPr>
          <w:t>Gouvernance et organisation</w:t>
        </w:r>
        <w:r>
          <w:rPr>
            <w:noProof/>
            <w:webHidden/>
          </w:rPr>
          <w:tab/>
        </w:r>
        <w:r>
          <w:rPr>
            <w:noProof/>
            <w:webHidden/>
          </w:rPr>
          <w:fldChar w:fldCharType="begin"/>
        </w:r>
        <w:r>
          <w:rPr>
            <w:noProof/>
            <w:webHidden/>
          </w:rPr>
          <w:instrText xml:space="preserve"> PAGEREF _Toc235518166 \h </w:instrText>
        </w:r>
        <w:r>
          <w:rPr>
            <w:noProof/>
            <w:webHidden/>
          </w:rPr>
        </w:r>
        <w:r>
          <w:rPr>
            <w:noProof/>
            <w:webHidden/>
          </w:rPr>
          <w:fldChar w:fldCharType="separate"/>
        </w:r>
        <w:r>
          <w:rPr>
            <w:noProof/>
            <w:webHidden/>
          </w:rPr>
          <w:t>12</w:t>
        </w:r>
        <w:r>
          <w:rPr>
            <w:noProof/>
            <w:webHidden/>
          </w:rPr>
          <w:fldChar w:fldCharType="end"/>
        </w:r>
      </w:hyperlink>
    </w:p>
    <w:p w14:paraId="18BE5F59" w14:textId="597C366C" w:rsidR="000D7048" w:rsidRDefault="000D7048">
      <w:pPr>
        <w:pStyle w:val="TM1"/>
        <w:rPr>
          <w:rFonts w:asciiTheme="minorHAnsi" w:eastAsiaTheme="minorEastAsia" w:hAnsiTheme="minorHAnsi"/>
          <w:b w:val="0"/>
          <w:noProof/>
          <w:color w:val="auto"/>
          <w:sz w:val="22"/>
          <w:lang w:eastAsia="fr-FR"/>
        </w:rPr>
      </w:pPr>
      <w:hyperlink w:anchor="_Toc235518167" w:history="1">
        <w:r w:rsidRPr="001C65F4">
          <w:rPr>
            <w:rStyle w:val="Lienhypertexte"/>
            <w:noProof/>
          </w:rPr>
          <w:t>2</w:t>
        </w:r>
        <w:r>
          <w:rPr>
            <w:rFonts w:asciiTheme="minorHAnsi" w:eastAsiaTheme="minorEastAsia" w:hAnsiTheme="minorHAnsi"/>
            <w:b w:val="0"/>
            <w:noProof/>
            <w:color w:val="auto"/>
            <w:sz w:val="22"/>
            <w:lang w:eastAsia="fr-FR"/>
          </w:rPr>
          <w:tab/>
        </w:r>
        <w:r w:rsidRPr="001C65F4">
          <w:rPr>
            <w:rStyle w:val="Lienhypertexte"/>
            <w:noProof/>
          </w:rPr>
          <w:t>Périmètres de l’étude</w:t>
        </w:r>
        <w:r>
          <w:rPr>
            <w:noProof/>
            <w:webHidden/>
          </w:rPr>
          <w:tab/>
        </w:r>
        <w:r>
          <w:rPr>
            <w:noProof/>
            <w:webHidden/>
          </w:rPr>
          <w:fldChar w:fldCharType="begin"/>
        </w:r>
        <w:r>
          <w:rPr>
            <w:noProof/>
            <w:webHidden/>
          </w:rPr>
          <w:instrText xml:space="preserve"> PAGEREF _Toc235518167 \h </w:instrText>
        </w:r>
        <w:r>
          <w:rPr>
            <w:noProof/>
            <w:webHidden/>
          </w:rPr>
        </w:r>
        <w:r>
          <w:rPr>
            <w:noProof/>
            <w:webHidden/>
          </w:rPr>
          <w:fldChar w:fldCharType="separate"/>
        </w:r>
        <w:r>
          <w:rPr>
            <w:noProof/>
            <w:webHidden/>
          </w:rPr>
          <w:t>15</w:t>
        </w:r>
        <w:r>
          <w:rPr>
            <w:noProof/>
            <w:webHidden/>
          </w:rPr>
          <w:fldChar w:fldCharType="end"/>
        </w:r>
      </w:hyperlink>
    </w:p>
    <w:p w14:paraId="5A5C9187" w14:textId="1F5611AB"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8" w:history="1">
        <w:r w:rsidRPr="001C65F4">
          <w:rPr>
            <w:rStyle w:val="Lienhypertexte"/>
            <w:noProof/>
            <w14:scene3d>
              <w14:camera w14:prst="orthographicFront"/>
              <w14:lightRig w14:rig="threePt" w14:dir="t">
                <w14:rot w14:lat="0" w14:lon="0" w14:rev="0"/>
              </w14:lightRig>
            </w14:scene3d>
          </w:rPr>
          <w:t>2.1</w:t>
        </w:r>
        <w:r>
          <w:rPr>
            <w:rFonts w:asciiTheme="minorHAnsi" w:eastAsiaTheme="minorEastAsia" w:hAnsiTheme="minorHAnsi"/>
            <w:b w:val="0"/>
            <w:noProof/>
            <w:color w:val="auto"/>
            <w:sz w:val="22"/>
            <w:lang w:eastAsia="fr-FR"/>
          </w:rPr>
          <w:tab/>
        </w:r>
        <w:r w:rsidRPr="001C65F4">
          <w:rPr>
            <w:rStyle w:val="Lienhypertexte"/>
            <w:noProof/>
          </w:rPr>
          <w:t>Périmètre géographique de l’étude</w:t>
        </w:r>
        <w:r>
          <w:rPr>
            <w:noProof/>
            <w:webHidden/>
          </w:rPr>
          <w:tab/>
        </w:r>
        <w:r>
          <w:rPr>
            <w:noProof/>
            <w:webHidden/>
          </w:rPr>
          <w:fldChar w:fldCharType="begin"/>
        </w:r>
        <w:r>
          <w:rPr>
            <w:noProof/>
            <w:webHidden/>
          </w:rPr>
          <w:instrText xml:space="preserve"> PAGEREF _Toc235518168 \h </w:instrText>
        </w:r>
        <w:r>
          <w:rPr>
            <w:noProof/>
            <w:webHidden/>
          </w:rPr>
        </w:r>
        <w:r>
          <w:rPr>
            <w:noProof/>
            <w:webHidden/>
          </w:rPr>
          <w:fldChar w:fldCharType="separate"/>
        </w:r>
        <w:r>
          <w:rPr>
            <w:noProof/>
            <w:webHidden/>
          </w:rPr>
          <w:t>15</w:t>
        </w:r>
        <w:r>
          <w:rPr>
            <w:noProof/>
            <w:webHidden/>
          </w:rPr>
          <w:fldChar w:fldCharType="end"/>
        </w:r>
      </w:hyperlink>
    </w:p>
    <w:p w14:paraId="2C47CABA" w14:textId="2F544590"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69" w:history="1">
        <w:r w:rsidRPr="001C65F4">
          <w:rPr>
            <w:rStyle w:val="Lienhypertexte"/>
            <w:noProof/>
            <w14:scene3d>
              <w14:camera w14:prst="orthographicFront"/>
              <w14:lightRig w14:rig="threePt" w14:dir="t">
                <w14:rot w14:lat="0" w14:lon="0" w14:rev="0"/>
              </w14:lightRig>
            </w14:scene3d>
          </w:rPr>
          <w:t>2.2</w:t>
        </w:r>
        <w:r>
          <w:rPr>
            <w:rFonts w:asciiTheme="minorHAnsi" w:eastAsiaTheme="minorEastAsia" w:hAnsiTheme="minorHAnsi"/>
            <w:b w:val="0"/>
            <w:noProof/>
            <w:color w:val="auto"/>
            <w:sz w:val="22"/>
            <w:lang w:eastAsia="fr-FR"/>
          </w:rPr>
          <w:tab/>
        </w:r>
        <w:r w:rsidRPr="001C65F4">
          <w:rPr>
            <w:rStyle w:val="Lienhypertexte"/>
            <w:noProof/>
          </w:rPr>
          <w:t>Périmètre physique de l’étude</w:t>
        </w:r>
        <w:r>
          <w:rPr>
            <w:noProof/>
            <w:webHidden/>
          </w:rPr>
          <w:tab/>
        </w:r>
        <w:r>
          <w:rPr>
            <w:noProof/>
            <w:webHidden/>
          </w:rPr>
          <w:fldChar w:fldCharType="begin"/>
        </w:r>
        <w:r>
          <w:rPr>
            <w:noProof/>
            <w:webHidden/>
          </w:rPr>
          <w:instrText xml:space="preserve"> PAGEREF _Toc235518169 \h </w:instrText>
        </w:r>
        <w:r>
          <w:rPr>
            <w:noProof/>
            <w:webHidden/>
          </w:rPr>
        </w:r>
        <w:r>
          <w:rPr>
            <w:noProof/>
            <w:webHidden/>
          </w:rPr>
          <w:fldChar w:fldCharType="separate"/>
        </w:r>
        <w:r>
          <w:rPr>
            <w:noProof/>
            <w:webHidden/>
          </w:rPr>
          <w:t>15</w:t>
        </w:r>
        <w:r>
          <w:rPr>
            <w:noProof/>
            <w:webHidden/>
          </w:rPr>
          <w:fldChar w:fldCharType="end"/>
        </w:r>
      </w:hyperlink>
    </w:p>
    <w:p w14:paraId="5938FD83" w14:textId="3AF3179B"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70" w:history="1">
        <w:r w:rsidRPr="001C65F4">
          <w:rPr>
            <w:rStyle w:val="Lienhypertexte"/>
            <w:noProof/>
            <w14:scene3d>
              <w14:camera w14:prst="orthographicFront"/>
              <w14:lightRig w14:rig="threePt" w14:dir="t">
                <w14:rot w14:lat="0" w14:lon="0" w14:rev="0"/>
              </w14:lightRig>
            </w14:scene3d>
          </w:rPr>
          <w:t>2.3</w:t>
        </w:r>
        <w:r>
          <w:rPr>
            <w:rFonts w:asciiTheme="minorHAnsi" w:eastAsiaTheme="minorEastAsia" w:hAnsiTheme="minorHAnsi"/>
            <w:b w:val="0"/>
            <w:noProof/>
            <w:color w:val="auto"/>
            <w:sz w:val="22"/>
            <w:lang w:eastAsia="fr-FR"/>
          </w:rPr>
          <w:tab/>
        </w:r>
        <w:r w:rsidRPr="001C65F4">
          <w:rPr>
            <w:rStyle w:val="Lienhypertexte"/>
            <w:noProof/>
          </w:rPr>
          <w:t>Périmètre climatique de l’étude</w:t>
        </w:r>
        <w:r>
          <w:rPr>
            <w:noProof/>
            <w:webHidden/>
          </w:rPr>
          <w:tab/>
        </w:r>
        <w:r>
          <w:rPr>
            <w:noProof/>
            <w:webHidden/>
          </w:rPr>
          <w:fldChar w:fldCharType="begin"/>
        </w:r>
        <w:r>
          <w:rPr>
            <w:noProof/>
            <w:webHidden/>
          </w:rPr>
          <w:instrText xml:space="preserve"> PAGEREF _Toc235518170 \h </w:instrText>
        </w:r>
        <w:r>
          <w:rPr>
            <w:noProof/>
            <w:webHidden/>
          </w:rPr>
        </w:r>
        <w:r>
          <w:rPr>
            <w:noProof/>
            <w:webHidden/>
          </w:rPr>
          <w:fldChar w:fldCharType="separate"/>
        </w:r>
        <w:r>
          <w:rPr>
            <w:noProof/>
            <w:webHidden/>
          </w:rPr>
          <w:t>16</w:t>
        </w:r>
        <w:r>
          <w:rPr>
            <w:noProof/>
            <w:webHidden/>
          </w:rPr>
          <w:fldChar w:fldCharType="end"/>
        </w:r>
      </w:hyperlink>
    </w:p>
    <w:p w14:paraId="7A62706A" w14:textId="01CDABBB"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71" w:history="1">
        <w:r w:rsidRPr="001C65F4">
          <w:rPr>
            <w:rStyle w:val="Lienhypertexte"/>
            <w:noProof/>
            <w14:scene3d>
              <w14:camera w14:prst="orthographicFront"/>
              <w14:lightRig w14:rig="threePt" w14:dir="t">
                <w14:rot w14:lat="0" w14:lon="0" w14:rev="0"/>
              </w14:lightRig>
            </w14:scene3d>
          </w:rPr>
          <w:t>2.4</w:t>
        </w:r>
        <w:r>
          <w:rPr>
            <w:rFonts w:asciiTheme="minorHAnsi" w:eastAsiaTheme="minorEastAsia" w:hAnsiTheme="minorHAnsi"/>
            <w:b w:val="0"/>
            <w:noProof/>
            <w:color w:val="auto"/>
            <w:sz w:val="22"/>
            <w:lang w:eastAsia="fr-FR"/>
          </w:rPr>
          <w:tab/>
        </w:r>
        <w:r w:rsidRPr="001C65F4">
          <w:rPr>
            <w:rStyle w:val="Lienhypertexte"/>
            <w:noProof/>
          </w:rPr>
          <w:t>Périmètre fonctionnel de l’étude</w:t>
        </w:r>
        <w:r>
          <w:rPr>
            <w:noProof/>
            <w:webHidden/>
          </w:rPr>
          <w:tab/>
        </w:r>
        <w:r>
          <w:rPr>
            <w:noProof/>
            <w:webHidden/>
          </w:rPr>
          <w:fldChar w:fldCharType="begin"/>
        </w:r>
        <w:r>
          <w:rPr>
            <w:noProof/>
            <w:webHidden/>
          </w:rPr>
          <w:instrText xml:space="preserve"> PAGEREF _Toc235518171 \h </w:instrText>
        </w:r>
        <w:r>
          <w:rPr>
            <w:noProof/>
            <w:webHidden/>
          </w:rPr>
        </w:r>
        <w:r>
          <w:rPr>
            <w:noProof/>
            <w:webHidden/>
          </w:rPr>
          <w:fldChar w:fldCharType="separate"/>
        </w:r>
        <w:r>
          <w:rPr>
            <w:noProof/>
            <w:webHidden/>
          </w:rPr>
          <w:t>16</w:t>
        </w:r>
        <w:r>
          <w:rPr>
            <w:noProof/>
            <w:webHidden/>
          </w:rPr>
          <w:fldChar w:fldCharType="end"/>
        </w:r>
      </w:hyperlink>
    </w:p>
    <w:p w14:paraId="2D7F8CF1" w14:textId="59B00EE1"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72" w:history="1">
        <w:r w:rsidRPr="001C65F4">
          <w:rPr>
            <w:rStyle w:val="Lienhypertexte"/>
            <w:noProof/>
            <w14:scene3d>
              <w14:camera w14:prst="orthographicFront"/>
              <w14:lightRig w14:rig="threePt" w14:dir="t">
                <w14:rot w14:lat="0" w14:lon="0" w14:rev="0"/>
              </w14:lightRig>
            </w14:scene3d>
          </w:rPr>
          <w:t>2.5</w:t>
        </w:r>
        <w:r>
          <w:rPr>
            <w:rFonts w:asciiTheme="minorHAnsi" w:eastAsiaTheme="minorEastAsia" w:hAnsiTheme="minorHAnsi"/>
            <w:b w:val="0"/>
            <w:noProof/>
            <w:color w:val="auto"/>
            <w:sz w:val="22"/>
            <w:lang w:eastAsia="fr-FR"/>
          </w:rPr>
          <w:tab/>
        </w:r>
        <w:r w:rsidRPr="001C65F4">
          <w:rPr>
            <w:rStyle w:val="Lienhypertexte"/>
            <w:noProof/>
          </w:rPr>
          <w:t>Périmètre des aléas</w:t>
        </w:r>
        <w:r>
          <w:rPr>
            <w:noProof/>
            <w:webHidden/>
          </w:rPr>
          <w:tab/>
        </w:r>
        <w:r>
          <w:rPr>
            <w:noProof/>
            <w:webHidden/>
          </w:rPr>
          <w:fldChar w:fldCharType="begin"/>
        </w:r>
        <w:r>
          <w:rPr>
            <w:noProof/>
            <w:webHidden/>
          </w:rPr>
          <w:instrText xml:space="preserve"> PAGEREF _Toc235518172 \h </w:instrText>
        </w:r>
        <w:r>
          <w:rPr>
            <w:noProof/>
            <w:webHidden/>
          </w:rPr>
        </w:r>
        <w:r>
          <w:rPr>
            <w:noProof/>
            <w:webHidden/>
          </w:rPr>
          <w:fldChar w:fldCharType="separate"/>
        </w:r>
        <w:r>
          <w:rPr>
            <w:noProof/>
            <w:webHidden/>
          </w:rPr>
          <w:t>18</w:t>
        </w:r>
        <w:r>
          <w:rPr>
            <w:noProof/>
            <w:webHidden/>
          </w:rPr>
          <w:fldChar w:fldCharType="end"/>
        </w:r>
      </w:hyperlink>
    </w:p>
    <w:p w14:paraId="114ECBE6" w14:textId="1DED3D19" w:rsidR="000D7048" w:rsidRDefault="000D7048">
      <w:pPr>
        <w:pStyle w:val="TM1"/>
        <w:rPr>
          <w:rFonts w:asciiTheme="minorHAnsi" w:eastAsiaTheme="minorEastAsia" w:hAnsiTheme="minorHAnsi"/>
          <w:b w:val="0"/>
          <w:noProof/>
          <w:color w:val="auto"/>
          <w:sz w:val="22"/>
          <w:lang w:eastAsia="fr-FR"/>
        </w:rPr>
      </w:pPr>
      <w:hyperlink w:anchor="_Toc235518173" w:history="1">
        <w:r w:rsidRPr="001C65F4">
          <w:rPr>
            <w:rStyle w:val="Lienhypertexte"/>
            <w:noProof/>
          </w:rPr>
          <w:t>3</w:t>
        </w:r>
        <w:r>
          <w:rPr>
            <w:rFonts w:asciiTheme="minorHAnsi" w:eastAsiaTheme="minorEastAsia" w:hAnsiTheme="minorHAnsi"/>
            <w:b w:val="0"/>
            <w:noProof/>
            <w:color w:val="auto"/>
            <w:sz w:val="22"/>
            <w:lang w:eastAsia="fr-FR"/>
          </w:rPr>
          <w:tab/>
        </w:r>
        <w:r w:rsidRPr="001C65F4">
          <w:rPr>
            <w:rStyle w:val="Lienhypertexte"/>
            <w:noProof/>
          </w:rPr>
          <w:t>Description des missions de l’étude</w:t>
        </w:r>
        <w:r>
          <w:rPr>
            <w:noProof/>
            <w:webHidden/>
          </w:rPr>
          <w:tab/>
        </w:r>
        <w:r>
          <w:rPr>
            <w:noProof/>
            <w:webHidden/>
          </w:rPr>
          <w:fldChar w:fldCharType="begin"/>
        </w:r>
        <w:r>
          <w:rPr>
            <w:noProof/>
            <w:webHidden/>
          </w:rPr>
          <w:instrText xml:space="preserve"> PAGEREF _Toc235518173 \h </w:instrText>
        </w:r>
        <w:r>
          <w:rPr>
            <w:noProof/>
            <w:webHidden/>
          </w:rPr>
        </w:r>
        <w:r>
          <w:rPr>
            <w:noProof/>
            <w:webHidden/>
          </w:rPr>
          <w:fldChar w:fldCharType="separate"/>
        </w:r>
        <w:r>
          <w:rPr>
            <w:noProof/>
            <w:webHidden/>
          </w:rPr>
          <w:t>20</w:t>
        </w:r>
        <w:r>
          <w:rPr>
            <w:noProof/>
            <w:webHidden/>
          </w:rPr>
          <w:fldChar w:fldCharType="end"/>
        </w:r>
      </w:hyperlink>
    </w:p>
    <w:p w14:paraId="16F101EF" w14:textId="4AF88A2C"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74" w:history="1">
        <w:r w:rsidRPr="001C65F4">
          <w:rPr>
            <w:rStyle w:val="Lienhypertexte"/>
            <w:noProof/>
            <w14:scene3d>
              <w14:camera w14:prst="orthographicFront"/>
              <w14:lightRig w14:rig="threePt" w14:dir="t">
                <w14:rot w14:lat="0" w14:lon="0" w14:rev="0"/>
              </w14:lightRig>
            </w14:scene3d>
          </w:rPr>
          <w:t>3.1</w:t>
        </w:r>
        <w:r>
          <w:rPr>
            <w:rFonts w:asciiTheme="minorHAnsi" w:eastAsiaTheme="minorEastAsia" w:hAnsiTheme="minorHAnsi"/>
            <w:b w:val="0"/>
            <w:noProof/>
            <w:color w:val="auto"/>
            <w:sz w:val="22"/>
            <w:lang w:eastAsia="fr-FR"/>
          </w:rPr>
          <w:tab/>
        </w:r>
        <w:r w:rsidRPr="001C65F4">
          <w:rPr>
            <w:rStyle w:val="Lienhypertexte"/>
            <w:noProof/>
            <w:shd w:val="clear" w:color="auto" w:fill="FFFFFF"/>
          </w:rPr>
          <w:t xml:space="preserve">Phase 1 – </w:t>
        </w:r>
        <w:r w:rsidRPr="001C65F4">
          <w:rPr>
            <w:rStyle w:val="Lienhypertexte"/>
            <w:noProof/>
          </w:rPr>
          <w:t>Confirmation et caractérisation du périmètre d'étude</w:t>
        </w:r>
        <w:r>
          <w:rPr>
            <w:noProof/>
            <w:webHidden/>
          </w:rPr>
          <w:tab/>
        </w:r>
        <w:r>
          <w:rPr>
            <w:noProof/>
            <w:webHidden/>
          </w:rPr>
          <w:fldChar w:fldCharType="begin"/>
        </w:r>
        <w:r>
          <w:rPr>
            <w:noProof/>
            <w:webHidden/>
          </w:rPr>
          <w:instrText xml:space="preserve"> PAGEREF _Toc235518174 \h </w:instrText>
        </w:r>
        <w:r>
          <w:rPr>
            <w:noProof/>
            <w:webHidden/>
          </w:rPr>
        </w:r>
        <w:r>
          <w:rPr>
            <w:noProof/>
            <w:webHidden/>
          </w:rPr>
          <w:fldChar w:fldCharType="separate"/>
        </w:r>
        <w:r>
          <w:rPr>
            <w:noProof/>
            <w:webHidden/>
          </w:rPr>
          <w:t>20</w:t>
        </w:r>
        <w:r>
          <w:rPr>
            <w:noProof/>
            <w:webHidden/>
          </w:rPr>
          <w:fldChar w:fldCharType="end"/>
        </w:r>
      </w:hyperlink>
    </w:p>
    <w:p w14:paraId="36E3FD53" w14:textId="252C9D6C"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75" w:history="1">
        <w:r w:rsidRPr="001C65F4">
          <w:rPr>
            <w:rStyle w:val="Lienhypertexte"/>
            <w:noProof/>
            <w14:scene3d>
              <w14:camera w14:prst="orthographicFront"/>
              <w14:lightRig w14:rig="threePt" w14:dir="t">
                <w14:rot w14:lat="0" w14:lon="0" w14:rev="0"/>
              </w14:lightRig>
            </w14:scene3d>
          </w:rPr>
          <w:t>3.2</w:t>
        </w:r>
        <w:r>
          <w:rPr>
            <w:rFonts w:asciiTheme="minorHAnsi" w:eastAsiaTheme="minorEastAsia" w:hAnsiTheme="minorHAnsi"/>
            <w:b w:val="0"/>
            <w:noProof/>
            <w:color w:val="auto"/>
            <w:sz w:val="22"/>
            <w:lang w:eastAsia="fr-FR"/>
          </w:rPr>
          <w:tab/>
        </w:r>
        <w:r w:rsidRPr="001C65F4">
          <w:rPr>
            <w:rStyle w:val="Lienhypertexte"/>
            <w:noProof/>
            <w:shd w:val="clear" w:color="auto" w:fill="FFFFFF"/>
          </w:rPr>
          <w:t>Phase 2 – Identification, sélection et collecte des données</w:t>
        </w:r>
        <w:r>
          <w:rPr>
            <w:noProof/>
            <w:webHidden/>
          </w:rPr>
          <w:tab/>
        </w:r>
        <w:r>
          <w:rPr>
            <w:noProof/>
            <w:webHidden/>
          </w:rPr>
          <w:fldChar w:fldCharType="begin"/>
        </w:r>
        <w:r>
          <w:rPr>
            <w:noProof/>
            <w:webHidden/>
          </w:rPr>
          <w:instrText xml:space="preserve"> PAGEREF _Toc235518175 \h </w:instrText>
        </w:r>
        <w:r>
          <w:rPr>
            <w:noProof/>
            <w:webHidden/>
          </w:rPr>
        </w:r>
        <w:r>
          <w:rPr>
            <w:noProof/>
            <w:webHidden/>
          </w:rPr>
          <w:fldChar w:fldCharType="separate"/>
        </w:r>
        <w:r>
          <w:rPr>
            <w:noProof/>
            <w:webHidden/>
          </w:rPr>
          <w:t>22</w:t>
        </w:r>
        <w:r>
          <w:rPr>
            <w:noProof/>
            <w:webHidden/>
          </w:rPr>
          <w:fldChar w:fldCharType="end"/>
        </w:r>
      </w:hyperlink>
    </w:p>
    <w:p w14:paraId="637A2846" w14:textId="4321961B"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76" w:history="1">
        <w:r w:rsidRPr="001C65F4">
          <w:rPr>
            <w:rStyle w:val="Lienhypertexte"/>
            <w:noProof/>
            <w14:scene3d>
              <w14:camera w14:prst="orthographicFront"/>
              <w14:lightRig w14:rig="threePt" w14:dir="t">
                <w14:rot w14:lat="0" w14:lon="0" w14:rev="0"/>
              </w14:lightRig>
            </w14:scene3d>
          </w:rPr>
          <w:t>3.3</w:t>
        </w:r>
        <w:r>
          <w:rPr>
            <w:rFonts w:asciiTheme="minorHAnsi" w:eastAsiaTheme="minorEastAsia" w:hAnsiTheme="minorHAnsi"/>
            <w:b w:val="0"/>
            <w:noProof/>
            <w:color w:val="auto"/>
            <w:sz w:val="22"/>
            <w:lang w:eastAsia="fr-FR"/>
          </w:rPr>
          <w:tab/>
        </w:r>
        <w:r w:rsidRPr="001C65F4">
          <w:rPr>
            <w:rStyle w:val="Lienhypertexte"/>
            <w:noProof/>
            <w:shd w:val="clear" w:color="auto" w:fill="FFFFFF"/>
          </w:rPr>
          <w:t>Phase 3 – Analyse de la vulnérabilité</w:t>
        </w:r>
        <w:r>
          <w:rPr>
            <w:noProof/>
            <w:webHidden/>
          </w:rPr>
          <w:tab/>
        </w:r>
        <w:r>
          <w:rPr>
            <w:noProof/>
            <w:webHidden/>
          </w:rPr>
          <w:fldChar w:fldCharType="begin"/>
        </w:r>
        <w:r>
          <w:rPr>
            <w:noProof/>
            <w:webHidden/>
          </w:rPr>
          <w:instrText xml:space="preserve"> PAGEREF _Toc235518176 \h </w:instrText>
        </w:r>
        <w:r>
          <w:rPr>
            <w:noProof/>
            <w:webHidden/>
          </w:rPr>
        </w:r>
        <w:r>
          <w:rPr>
            <w:noProof/>
            <w:webHidden/>
          </w:rPr>
          <w:fldChar w:fldCharType="separate"/>
        </w:r>
        <w:r>
          <w:rPr>
            <w:noProof/>
            <w:webHidden/>
          </w:rPr>
          <w:t>24</w:t>
        </w:r>
        <w:r>
          <w:rPr>
            <w:noProof/>
            <w:webHidden/>
          </w:rPr>
          <w:fldChar w:fldCharType="end"/>
        </w:r>
      </w:hyperlink>
    </w:p>
    <w:p w14:paraId="6067FE70" w14:textId="593A5A67"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77" w:history="1">
        <w:r w:rsidRPr="001C65F4">
          <w:rPr>
            <w:rStyle w:val="Lienhypertexte"/>
            <w:noProof/>
          </w:rPr>
          <w:t>3.3.1</w:t>
        </w:r>
        <w:r>
          <w:rPr>
            <w:rFonts w:asciiTheme="minorHAnsi" w:eastAsiaTheme="minorEastAsia" w:hAnsiTheme="minorHAnsi"/>
            <w:noProof/>
            <w:color w:val="auto"/>
            <w:lang w:eastAsia="fr-FR"/>
          </w:rPr>
          <w:tab/>
        </w:r>
        <w:r w:rsidRPr="001C65F4">
          <w:rPr>
            <w:rStyle w:val="Lienhypertexte"/>
            <w:noProof/>
          </w:rPr>
          <w:t>Etape 4 : Analyse d’exposition</w:t>
        </w:r>
        <w:r>
          <w:rPr>
            <w:noProof/>
            <w:webHidden/>
          </w:rPr>
          <w:tab/>
        </w:r>
        <w:r>
          <w:rPr>
            <w:noProof/>
            <w:webHidden/>
          </w:rPr>
          <w:fldChar w:fldCharType="begin"/>
        </w:r>
        <w:r>
          <w:rPr>
            <w:noProof/>
            <w:webHidden/>
          </w:rPr>
          <w:instrText xml:space="preserve"> PAGEREF _Toc235518177 \h </w:instrText>
        </w:r>
        <w:r>
          <w:rPr>
            <w:noProof/>
            <w:webHidden/>
          </w:rPr>
        </w:r>
        <w:r>
          <w:rPr>
            <w:noProof/>
            <w:webHidden/>
          </w:rPr>
          <w:fldChar w:fldCharType="separate"/>
        </w:r>
        <w:r>
          <w:rPr>
            <w:noProof/>
            <w:webHidden/>
          </w:rPr>
          <w:t>24</w:t>
        </w:r>
        <w:r>
          <w:rPr>
            <w:noProof/>
            <w:webHidden/>
          </w:rPr>
          <w:fldChar w:fldCharType="end"/>
        </w:r>
      </w:hyperlink>
    </w:p>
    <w:p w14:paraId="1098F5F1" w14:textId="4CD9EE65"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78" w:history="1">
        <w:r w:rsidRPr="001C65F4">
          <w:rPr>
            <w:rStyle w:val="Lienhypertexte"/>
            <w:noProof/>
          </w:rPr>
          <w:t>3.3.2</w:t>
        </w:r>
        <w:r>
          <w:rPr>
            <w:rFonts w:asciiTheme="minorHAnsi" w:eastAsiaTheme="minorEastAsia" w:hAnsiTheme="minorHAnsi"/>
            <w:noProof/>
            <w:color w:val="auto"/>
            <w:lang w:eastAsia="fr-FR"/>
          </w:rPr>
          <w:tab/>
        </w:r>
        <w:r w:rsidRPr="001C65F4">
          <w:rPr>
            <w:rStyle w:val="Lienhypertexte"/>
            <w:noProof/>
          </w:rPr>
          <w:t>Etape 5 : Analyse de sensibilité</w:t>
        </w:r>
        <w:r>
          <w:rPr>
            <w:noProof/>
            <w:webHidden/>
          </w:rPr>
          <w:tab/>
        </w:r>
        <w:r>
          <w:rPr>
            <w:noProof/>
            <w:webHidden/>
          </w:rPr>
          <w:fldChar w:fldCharType="begin"/>
        </w:r>
        <w:r>
          <w:rPr>
            <w:noProof/>
            <w:webHidden/>
          </w:rPr>
          <w:instrText xml:space="preserve"> PAGEREF _Toc235518178 \h </w:instrText>
        </w:r>
        <w:r>
          <w:rPr>
            <w:noProof/>
            <w:webHidden/>
          </w:rPr>
        </w:r>
        <w:r>
          <w:rPr>
            <w:noProof/>
            <w:webHidden/>
          </w:rPr>
          <w:fldChar w:fldCharType="separate"/>
        </w:r>
        <w:r>
          <w:rPr>
            <w:noProof/>
            <w:webHidden/>
          </w:rPr>
          <w:t>26</w:t>
        </w:r>
        <w:r>
          <w:rPr>
            <w:noProof/>
            <w:webHidden/>
          </w:rPr>
          <w:fldChar w:fldCharType="end"/>
        </w:r>
      </w:hyperlink>
    </w:p>
    <w:p w14:paraId="571FDD90" w14:textId="0E5187BC"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79" w:history="1">
        <w:r w:rsidRPr="001C65F4">
          <w:rPr>
            <w:rStyle w:val="Lienhypertexte"/>
            <w:noProof/>
          </w:rPr>
          <w:t>3.3.3</w:t>
        </w:r>
        <w:r>
          <w:rPr>
            <w:rFonts w:asciiTheme="minorHAnsi" w:eastAsiaTheme="minorEastAsia" w:hAnsiTheme="minorHAnsi"/>
            <w:noProof/>
            <w:color w:val="auto"/>
            <w:lang w:eastAsia="fr-FR"/>
          </w:rPr>
          <w:tab/>
        </w:r>
        <w:r w:rsidRPr="001C65F4">
          <w:rPr>
            <w:rStyle w:val="Lienhypertexte"/>
            <w:noProof/>
          </w:rPr>
          <w:t>Etape 6 : Analyse de vulnérabilité</w:t>
        </w:r>
        <w:r>
          <w:rPr>
            <w:noProof/>
            <w:webHidden/>
          </w:rPr>
          <w:tab/>
        </w:r>
        <w:r>
          <w:rPr>
            <w:noProof/>
            <w:webHidden/>
          </w:rPr>
          <w:fldChar w:fldCharType="begin"/>
        </w:r>
        <w:r>
          <w:rPr>
            <w:noProof/>
            <w:webHidden/>
          </w:rPr>
          <w:instrText xml:space="preserve"> PAGEREF _Toc235518179 \h </w:instrText>
        </w:r>
        <w:r>
          <w:rPr>
            <w:noProof/>
            <w:webHidden/>
          </w:rPr>
        </w:r>
        <w:r>
          <w:rPr>
            <w:noProof/>
            <w:webHidden/>
          </w:rPr>
          <w:fldChar w:fldCharType="separate"/>
        </w:r>
        <w:r>
          <w:rPr>
            <w:noProof/>
            <w:webHidden/>
          </w:rPr>
          <w:t>30</w:t>
        </w:r>
        <w:r>
          <w:rPr>
            <w:noProof/>
            <w:webHidden/>
          </w:rPr>
          <w:fldChar w:fldCharType="end"/>
        </w:r>
      </w:hyperlink>
    </w:p>
    <w:p w14:paraId="7C83D44C" w14:textId="497ED873"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80" w:history="1">
        <w:r w:rsidRPr="001C65F4">
          <w:rPr>
            <w:rStyle w:val="Lienhypertexte"/>
            <w:noProof/>
          </w:rPr>
          <w:t>3.3.4</w:t>
        </w:r>
        <w:r>
          <w:rPr>
            <w:rFonts w:asciiTheme="minorHAnsi" w:eastAsiaTheme="minorEastAsia" w:hAnsiTheme="minorHAnsi"/>
            <w:noProof/>
            <w:color w:val="auto"/>
            <w:lang w:eastAsia="fr-FR"/>
          </w:rPr>
          <w:tab/>
        </w:r>
        <w:r w:rsidRPr="001C65F4">
          <w:rPr>
            <w:rStyle w:val="Lienhypertexte"/>
            <w:noProof/>
          </w:rPr>
          <w:t>Etape 7 : Analyse de risque</w:t>
        </w:r>
        <w:r>
          <w:rPr>
            <w:noProof/>
            <w:webHidden/>
          </w:rPr>
          <w:tab/>
        </w:r>
        <w:r>
          <w:rPr>
            <w:noProof/>
            <w:webHidden/>
          </w:rPr>
          <w:fldChar w:fldCharType="begin"/>
        </w:r>
        <w:r>
          <w:rPr>
            <w:noProof/>
            <w:webHidden/>
          </w:rPr>
          <w:instrText xml:space="preserve"> PAGEREF _Toc235518180 \h </w:instrText>
        </w:r>
        <w:r>
          <w:rPr>
            <w:noProof/>
            <w:webHidden/>
          </w:rPr>
        </w:r>
        <w:r>
          <w:rPr>
            <w:noProof/>
            <w:webHidden/>
          </w:rPr>
          <w:fldChar w:fldCharType="separate"/>
        </w:r>
        <w:r>
          <w:rPr>
            <w:noProof/>
            <w:webHidden/>
          </w:rPr>
          <w:t>31</w:t>
        </w:r>
        <w:r>
          <w:rPr>
            <w:noProof/>
            <w:webHidden/>
          </w:rPr>
          <w:fldChar w:fldCharType="end"/>
        </w:r>
      </w:hyperlink>
    </w:p>
    <w:p w14:paraId="68745288" w14:textId="628D8FE1"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81" w:history="1">
        <w:r w:rsidRPr="001C65F4">
          <w:rPr>
            <w:rStyle w:val="Lienhypertexte"/>
            <w:noProof/>
          </w:rPr>
          <w:t>3.3.5</w:t>
        </w:r>
        <w:r>
          <w:rPr>
            <w:rFonts w:asciiTheme="minorHAnsi" w:eastAsiaTheme="minorEastAsia" w:hAnsiTheme="minorHAnsi"/>
            <w:noProof/>
            <w:color w:val="auto"/>
            <w:lang w:eastAsia="fr-FR"/>
          </w:rPr>
          <w:tab/>
        </w:r>
        <w:r w:rsidRPr="001C65F4">
          <w:rPr>
            <w:rStyle w:val="Lienhypertexte"/>
            <w:noProof/>
          </w:rPr>
          <w:t>Résumé des livrables attendus pour la phase 3</w:t>
        </w:r>
        <w:r>
          <w:rPr>
            <w:noProof/>
            <w:webHidden/>
          </w:rPr>
          <w:tab/>
        </w:r>
        <w:r>
          <w:rPr>
            <w:noProof/>
            <w:webHidden/>
          </w:rPr>
          <w:fldChar w:fldCharType="begin"/>
        </w:r>
        <w:r>
          <w:rPr>
            <w:noProof/>
            <w:webHidden/>
          </w:rPr>
          <w:instrText xml:space="preserve"> PAGEREF _Toc235518181 \h </w:instrText>
        </w:r>
        <w:r>
          <w:rPr>
            <w:noProof/>
            <w:webHidden/>
          </w:rPr>
        </w:r>
        <w:r>
          <w:rPr>
            <w:noProof/>
            <w:webHidden/>
          </w:rPr>
          <w:fldChar w:fldCharType="separate"/>
        </w:r>
        <w:r>
          <w:rPr>
            <w:noProof/>
            <w:webHidden/>
          </w:rPr>
          <w:t>33</w:t>
        </w:r>
        <w:r>
          <w:rPr>
            <w:noProof/>
            <w:webHidden/>
          </w:rPr>
          <w:fldChar w:fldCharType="end"/>
        </w:r>
      </w:hyperlink>
    </w:p>
    <w:p w14:paraId="518F0D09" w14:textId="61341051"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82" w:history="1">
        <w:r w:rsidRPr="001C65F4">
          <w:rPr>
            <w:rStyle w:val="Lienhypertexte"/>
            <w:noProof/>
            <w14:scene3d>
              <w14:camera w14:prst="orthographicFront"/>
              <w14:lightRig w14:rig="threePt" w14:dir="t">
                <w14:rot w14:lat="0" w14:lon="0" w14:rev="0"/>
              </w14:lightRig>
            </w14:scene3d>
          </w:rPr>
          <w:t>3.4</w:t>
        </w:r>
        <w:r>
          <w:rPr>
            <w:rFonts w:asciiTheme="minorHAnsi" w:eastAsiaTheme="minorEastAsia" w:hAnsiTheme="minorHAnsi"/>
            <w:b w:val="0"/>
            <w:noProof/>
            <w:color w:val="auto"/>
            <w:sz w:val="22"/>
            <w:lang w:eastAsia="fr-FR"/>
          </w:rPr>
          <w:tab/>
        </w:r>
        <w:r w:rsidRPr="001C65F4">
          <w:rPr>
            <w:rStyle w:val="Lienhypertexte"/>
            <w:noProof/>
            <w:shd w:val="clear" w:color="auto" w:fill="FFFFFF"/>
          </w:rPr>
          <w:t>Phase 4 – Élaboration des mesures d’adaptation et définition de la stratégie de résilience</w:t>
        </w:r>
        <w:r>
          <w:rPr>
            <w:noProof/>
            <w:webHidden/>
          </w:rPr>
          <w:tab/>
        </w:r>
        <w:r>
          <w:rPr>
            <w:noProof/>
            <w:webHidden/>
          </w:rPr>
          <w:fldChar w:fldCharType="begin"/>
        </w:r>
        <w:r>
          <w:rPr>
            <w:noProof/>
            <w:webHidden/>
          </w:rPr>
          <w:instrText xml:space="preserve"> PAGEREF _Toc235518182 \h </w:instrText>
        </w:r>
        <w:r>
          <w:rPr>
            <w:noProof/>
            <w:webHidden/>
          </w:rPr>
        </w:r>
        <w:r>
          <w:rPr>
            <w:noProof/>
            <w:webHidden/>
          </w:rPr>
          <w:fldChar w:fldCharType="separate"/>
        </w:r>
        <w:r>
          <w:rPr>
            <w:noProof/>
            <w:webHidden/>
          </w:rPr>
          <w:t>34</w:t>
        </w:r>
        <w:r>
          <w:rPr>
            <w:noProof/>
            <w:webHidden/>
          </w:rPr>
          <w:fldChar w:fldCharType="end"/>
        </w:r>
      </w:hyperlink>
    </w:p>
    <w:p w14:paraId="77F4061B" w14:textId="0104EAB5"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83" w:history="1">
        <w:r w:rsidRPr="001C65F4">
          <w:rPr>
            <w:rStyle w:val="Lienhypertexte"/>
            <w:noProof/>
          </w:rPr>
          <w:t>3.4.1</w:t>
        </w:r>
        <w:r>
          <w:rPr>
            <w:rFonts w:asciiTheme="minorHAnsi" w:eastAsiaTheme="minorEastAsia" w:hAnsiTheme="minorHAnsi"/>
            <w:noProof/>
            <w:color w:val="auto"/>
            <w:lang w:eastAsia="fr-FR"/>
          </w:rPr>
          <w:tab/>
        </w:r>
        <w:r w:rsidRPr="001C65F4">
          <w:rPr>
            <w:rStyle w:val="Lienhypertexte"/>
            <w:noProof/>
          </w:rPr>
          <w:t>Etape 8 : Identification des mesures d’adaptation</w:t>
        </w:r>
        <w:r>
          <w:rPr>
            <w:noProof/>
            <w:webHidden/>
          </w:rPr>
          <w:tab/>
        </w:r>
        <w:r>
          <w:rPr>
            <w:noProof/>
            <w:webHidden/>
          </w:rPr>
          <w:fldChar w:fldCharType="begin"/>
        </w:r>
        <w:r>
          <w:rPr>
            <w:noProof/>
            <w:webHidden/>
          </w:rPr>
          <w:instrText xml:space="preserve"> PAGEREF _Toc235518183 \h </w:instrText>
        </w:r>
        <w:r>
          <w:rPr>
            <w:noProof/>
            <w:webHidden/>
          </w:rPr>
        </w:r>
        <w:r>
          <w:rPr>
            <w:noProof/>
            <w:webHidden/>
          </w:rPr>
          <w:fldChar w:fldCharType="separate"/>
        </w:r>
        <w:r>
          <w:rPr>
            <w:noProof/>
            <w:webHidden/>
          </w:rPr>
          <w:t>34</w:t>
        </w:r>
        <w:r>
          <w:rPr>
            <w:noProof/>
            <w:webHidden/>
          </w:rPr>
          <w:fldChar w:fldCharType="end"/>
        </w:r>
      </w:hyperlink>
    </w:p>
    <w:p w14:paraId="679B32F7" w14:textId="0BADB900"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84" w:history="1">
        <w:r w:rsidRPr="001C65F4">
          <w:rPr>
            <w:rStyle w:val="Lienhypertexte"/>
            <w:noProof/>
          </w:rPr>
          <w:t>3.4.2</w:t>
        </w:r>
        <w:r>
          <w:rPr>
            <w:rFonts w:asciiTheme="minorHAnsi" w:eastAsiaTheme="minorEastAsia" w:hAnsiTheme="minorHAnsi"/>
            <w:noProof/>
            <w:color w:val="auto"/>
            <w:lang w:eastAsia="fr-FR"/>
          </w:rPr>
          <w:tab/>
        </w:r>
        <w:r w:rsidRPr="001C65F4">
          <w:rPr>
            <w:rStyle w:val="Lienhypertexte"/>
            <w:noProof/>
          </w:rPr>
          <w:t>Etapes 9 et 10: Elaboration de la stratégie de résilience et du plan d'action</w:t>
        </w:r>
        <w:r>
          <w:rPr>
            <w:noProof/>
            <w:webHidden/>
          </w:rPr>
          <w:tab/>
        </w:r>
        <w:r>
          <w:rPr>
            <w:noProof/>
            <w:webHidden/>
          </w:rPr>
          <w:fldChar w:fldCharType="begin"/>
        </w:r>
        <w:r>
          <w:rPr>
            <w:noProof/>
            <w:webHidden/>
          </w:rPr>
          <w:instrText xml:space="preserve"> PAGEREF _Toc235518184 \h </w:instrText>
        </w:r>
        <w:r>
          <w:rPr>
            <w:noProof/>
            <w:webHidden/>
          </w:rPr>
        </w:r>
        <w:r>
          <w:rPr>
            <w:noProof/>
            <w:webHidden/>
          </w:rPr>
          <w:fldChar w:fldCharType="separate"/>
        </w:r>
        <w:r>
          <w:rPr>
            <w:noProof/>
            <w:webHidden/>
          </w:rPr>
          <w:t>36</w:t>
        </w:r>
        <w:r>
          <w:rPr>
            <w:noProof/>
            <w:webHidden/>
          </w:rPr>
          <w:fldChar w:fldCharType="end"/>
        </w:r>
      </w:hyperlink>
    </w:p>
    <w:p w14:paraId="47FF22FE" w14:textId="278EE801"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85" w:history="1">
        <w:r w:rsidRPr="001C65F4">
          <w:rPr>
            <w:rStyle w:val="Lienhypertexte"/>
            <w:noProof/>
            <w14:scene3d>
              <w14:camera w14:prst="orthographicFront"/>
              <w14:lightRig w14:rig="threePt" w14:dir="t">
                <w14:rot w14:lat="0" w14:lon="0" w14:rev="0"/>
              </w14:lightRig>
            </w14:scene3d>
          </w:rPr>
          <w:t>3.5</w:t>
        </w:r>
        <w:r>
          <w:rPr>
            <w:rFonts w:asciiTheme="minorHAnsi" w:eastAsiaTheme="minorEastAsia" w:hAnsiTheme="minorHAnsi"/>
            <w:b w:val="0"/>
            <w:noProof/>
            <w:color w:val="auto"/>
            <w:sz w:val="22"/>
            <w:lang w:eastAsia="fr-FR"/>
          </w:rPr>
          <w:tab/>
        </w:r>
        <w:r w:rsidRPr="001C65F4">
          <w:rPr>
            <w:rStyle w:val="Lienhypertexte"/>
            <w:noProof/>
            <w:shd w:val="clear" w:color="auto" w:fill="FFFFFF"/>
          </w:rPr>
          <w:t>Priorités et points d’attention du Maître d’Ouvrage</w:t>
        </w:r>
        <w:r>
          <w:rPr>
            <w:noProof/>
            <w:webHidden/>
          </w:rPr>
          <w:tab/>
        </w:r>
        <w:r>
          <w:rPr>
            <w:noProof/>
            <w:webHidden/>
          </w:rPr>
          <w:fldChar w:fldCharType="begin"/>
        </w:r>
        <w:r>
          <w:rPr>
            <w:noProof/>
            <w:webHidden/>
          </w:rPr>
          <w:instrText xml:space="preserve"> PAGEREF _Toc235518185 \h </w:instrText>
        </w:r>
        <w:r>
          <w:rPr>
            <w:noProof/>
            <w:webHidden/>
          </w:rPr>
        </w:r>
        <w:r>
          <w:rPr>
            <w:noProof/>
            <w:webHidden/>
          </w:rPr>
          <w:fldChar w:fldCharType="separate"/>
        </w:r>
        <w:r>
          <w:rPr>
            <w:noProof/>
            <w:webHidden/>
          </w:rPr>
          <w:t>39</w:t>
        </w:r>
        <w:r>
          <w:rPr>
            <w:noProof/>
            <w:webHidden/>
          </w:rPr>
          <w:fldChar w:fldCharType="end"/>
        </w:r>
      </w:hyperlink>
    </w:p>
    <w:p w14:paraId="21EE4E61" w14:textId="33F0E5F0" w:rsidR="000D7048" w:rsidRDefault="000D7048">
      <w:pPr>
        <w:pStyle w:val="TM1"/>
        <w:rPr>
          <w:rFonts w:asciiTheme="minorHAnsi" w:eastAsiaTheme="minorEastAsia" w:hAnsiTheme="minorHAnsi"/>
          <w:b w:val="0"/>
          <w:noProof/>
          <w:color w:val="auto"/>
          <w:sz w:val="22"/>
          <w:lang w:eastAsia="fr-FR"/>
        </w:rPr>
      </w:pPr>
      <w:hyperlink w:anchor="_Toc235518186" w:history="1">
        <w:r w:rsidRPr="001C65F4">
          <w:rPr>
            <w:rStyle w:val="Lienhypertexte"/>
            <w:noProof/>
          </w:rPr>
          <w:t>4</w:t>
        </w:r>
        <w:r>
          <w:rPr>
            <w:rFonts w:asciiTheme="minorHAnsi" w:eastAsiaTheme="minorEastAsia" w:hAnsiTheme="minorHAnsi"/>
            <w:b w:val="0"/>
            <w:noProof/>
            <w:color w:val="auto"/>
            <w:sz w:val="22"/>
            <w:lang w:eastAsia="fr-FR"/>
          </w:rPr>
          <w:tab/>
        </w:r>
        <w:r w:rsidRPr="001C65F4">
          <w:rPr>
            <w:rStyle w:val="Lienhypertexte"/>
            <w:noProof/>
          </w:rPr>
          <w:t>Déroulement de l’étude</w:t>
        </w:r>
        <w:r>
          <w:rPr>
            <w:noProof/>
            <w:webHidden/>
          </w:rPr>
          <w:tab/>
        </w:r>
        <w:r>
          <w:rPr>
            <w:noProof/>
            <w:webHidden/>
          </w:rPr>
          <w:fldChar w:fldCharType="begin"/>
        </w:r>
        <w:r>
          <w:rPr>
            <w:noProof/>
            <w:webHidden/>
          </w:rPr>
          <w:instrText xml:space="preserve"> PAGEREF _Toc235518186 \h </w:instrText>
        </w:r>
        <w:r>
          <w:rPr>
            <w:noProof/>
            <w:webHidden/>
          </w:rPr>
        </w:r>
        <w:r>
          <w:rPr>
            <w:noProof/>
            <w:webHidden/>
          </w:rPr>
          <w:fldChar w:fldCharType="separate"/>
        </w:r>
        <w:r>
          <w:rPr>
            <w:noProof/>
            <w:webHidden/>
          </w:rPr>
          <w:t>40</w:t>
        </w:r>
        <w:r>
          <w:rPr>
            <w:noProof/>
            <w:webHidden/>
          </w:rPr>
          <w:fldChar w:fldCharType="end"/>
        </w:r>
      </w:hyperlink>
    </w:p>
    <w:p w14:paraId="4E41AC7D" w14:textId="4935621C"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87" w:history="1">
        <w:r w:rsidRPr="001C65F4">
          <w:rPr>
            <w:rStyle w:val="Lienhypertexte"/>
            <w:noProof/>
            <w14:scene3d>
              <w14:camera w14:prst="orthographicFront"/>
              <w14:lightRig w14:rig="threePt" w14:dir="t">
                <w14:rot w14:lat="0" w14:lon="0" w14:rev="0"/>
              </w14:lightRig>
            </w14:scene3d>
          </w:rPr>
          <w:t>4.1</w:t>
        </w:r>
        <w:r>
          <w:rPr>
            <w:rFonts w:asciiTheme="minorHAnsi" w:eastAsiaTheme="minorEastAsia" w:hAnsiTheme="minorHAnsi"/>
            <w:b w:val="0"/>
            <w:noProof/>
            <w:color w:val="auto"/>
            <w:sz w:val="22"/>
            <w:lang w:eastAsia="fr-FR"/>
          </w:rPr>
          <w:tab/>
        </w:r>
        <w:r w:rsidRPr="001C65F4">
          <w:rPr>
            <w:rStyle w:val="Lienhypertexte"/>
            <w:noProof/>
          </w:rPr>
          <w:t>Modalités de pilotage</w:t>
        </w:r>
        <w:r>
          <w:rPr>
            <w:noProof/>
            <w:webHidden/>
          </w:rPr>
          <w:tab/>
        </w:r>
        <w:r>
          <w:rPr>
            <w:noProof/>
            <w:webHidden/>
          </w:rPr>
          <w:fldChar w:fldCharType="begin"/>
        </w:r>
        <w:r>
          <w:rPr>
            <w:noProof/>
            <w:webHidden/>
          </w:rPr>
          <w:instrText xml:space="preserve"> PAGEREF _Toc235518187 \h </w:instrText>
        </w:r>
        <w:r>
          <w:rPr>
            <w:noProof/>
            <w:webHidden/>
          </w:rPr>
        </w:r>
        <w:r>
          <w:rPr>
            <w:noProof/>
            <w:webHidden/>
          </w:rPr>
          <w:fldChar w:fldCharType="separate"/>
        </w:r>
        <w:r>
          <w:rPr>
            <w:noProof/>
            <w:webHidden/>
          </w:rPr>
          <w:t>40</w:t>
        </w:r>
        <w:r>
          <w:rPr>
            <w:noProof/>
            <w:webHidden/>
          </w:rPr>
          <w:fldChar w:fldCharType="end"/>
        </w:r>
      </w:hyperlink>
    </w:p>
    <w:p w14:paraId="48831BAA" w14:textId="784F3630"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88" w:history="1">
        <w:r w:rsidRPr="001C65F4">
          <w:rPr>
            <w:rStyle w:val="Lienhypertexte"/>
            <w:noProof/>
            <w14:scene3d>
              <w14:camera w14:prst="orthographicFront"/>
              <w14:lightRig w14:rig="threePt" w14:dir="t">
                <w14:rot w14:lat="0" w14:lon="0" w14:rev="0"/>
              </w14:lightRig>
            </w14:scene3d>
          </w:rPr>
          <w:t>4.2</w:t>
        </w:r>
        <w:r>
          <w:rPr>
            <w:rFonts w:asciiTheme="minorHAnsi" w:eastAsiaTheme="minorEastAsia" w:hAnsiTheme="minorHAnsi"/>
            <w:b w:val="0"/>
            <w:noProof/>
            <w:color w:val="auto"/>
            <w:sz w:val="22"/>
            <w:lang w:eastAsia="fr-FR"/>
          </w:rPr>
          <w:tab/>
        </w:r>
        <w:r w:rsidRPr="001C65F4">
          <w:rPr>
            <w:rStyle w:val="Lienhypertexte"/>
            <w:noProof/>
          </w:rPr>
          <w:t>Réunions de suivi</w:t>
        </w:r>
        <w:r>
          <w:rPr>
            <w:noProof/>
            <w:webHidden/>
          </w:rPr>
          <w:tab/>
        </w:r>
        <w:r>
          <w:rPr>
            <w:noProof/>
            <w:webHidden/>
          </w:rPr>
          <w:fldChar w:fldCharType="begin"/>
        </w:r>
        <w:r>
          <w:rPr>
            <w:noProof/>
            <w:webHidden/>
          </w:rPr>
          <w:instrText xml:space="preserve"> PAGEREF _Toc235518188 \h </w:instrText>
        </w:r>
        <w:r>
          <w:rPr>
            <w:noProof/>
            <w:webHidden/>
          </w:rPr>
        </w:r>
        <w:r>
          <w:rPr>
            <w:noProof/>
            <w:webHidden/>
          </w:rPr>
          <w:fldChar w:fldCharType="separate"/>
        </w:r>
        <w:r>
          <w:rPr>
            <w:noProof/>
            <w:webHidden/>
          </w:rPr>
          <w:t>40</w:t>
        </w:r>
        <w:r>
          <w:rPr>
            <w:noProof/>
            <w:webHidden/>
          </w:rPr>
          <w:fldChar w:fldCharType="end"/>
        </w:r>
      </w:hyperlink>
    </w:p>
    <w:p w14:paraId="68C923F2" w14:textId="2D769534"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89" w:history="1">
        <w:r w:rsidRPr="001C65F4">
          <w:rPr>
            <w:rStyle w:val="Lienhypertexte"/>
            <w:noProof/>
            <w14:scene3d>
              <w14:camera w14:prst="orthographicFront"/>
              <w14:lightRig w14:rig="threePt" w14:dir="t">
                <w14:rot w14:lat="0" w14:lon="0" w14:rev="0"/>
              </w14:lightRig>
            </w14:scene3d>
          </w:rPr>
          <w:t>4.3</w:t>
        </w:r>
        <w:r>
          <w:rPr>
            <w:rFonts w:asciiTheme="minorHAnsi" w:eastAsiaTheme="minorEastAsia" w:hAnsiTheme="minorHAnsi"/>
            <w:b w:val="0"/>
            <w:noProof/>
            <w:color w:val="auto"/>
            <w:sz w:val="22"/>
            <w:lang w:eastAsia="fr-FR"/>
          </w:rPr>
          <w:tab/>
        </w:r>
        <w:r w:rsidRPr="001C65F4">
          <w:rPr>
            <w:rStyle w:val="Lienhypertexte"/>
            <w:noProof/>
          </w:rPr>
          <w:t>Livrables attendus</w:t>
        </w:r>
        <w:r>
          <w:rPr>
            <w:noProof/>
            <w:webHidden/>
          </w:rPr>
          <w:tab/>
        </w:r>
        <w:r>
          <w:rPr>
            <w:noProof/>
            <w:webHidden/>
          </w:rPr>
          <w:fldChar w:fldCharType="begin"/>
        </w:r>
        <w:r>
          <w:rPr>
            <w:noProof/>
            <w:webHidden/>
          </w:rPr>
          <w:instrText xml:space="preserve"> PAGEREF _Toc235518189 \h </w:instrText>
        </w:r>
        <w:r>
          <w:rPr>
            <w:noProof/>
            <w:webHidden/>
          </w:rPr>
        </w:r>
        <w:r>
          <w:rPr>
            <w:noProof/>
            <w:webHidden/>
          </w:rPr>
          <w:fldChar w:fldCharType="separate"/>
        </w:r>
        <w:r>
          <w:rPr>
            <w:noProof/>
            <w:webHidden/>
          </w:rPr>
          <w:t>40</w:t>
        </w:r>
        <w:r>
          <w:rPr>
            <w:noProof/>
            <w:webHidden/>
          </w:rPr>
          <w:fldChar w:fldCharType="end"/>
        </w:r>
      </w:hyperlink>
    </w:p>
    <w:p w14:paraId="0774D6EE" w14:textId="0E2A2143"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90" w:history="1">
        <w:r w:rsidRPr="001C65F4">
          <w:rPr>
            <w:rStyle w:val="Lienhypertexte"/>
            <w:noProof/>
          </w:rPr>
          <w:t>4.3.1</w:t>
        </w:r>
        <w:r>
          <w:rPr>
            <w:rFonts w:asciiTheme="minorHAnsi" w:eastAsiaTheme="minorEastAsia" w:hAnsiTheme="minorHAnsi"/>
            <w:noProof/>
            <w:color w:val="auto"/>
            <w:lang w:eastAsia="fr-FR"/>
          </w:rPr>
          <w:tab/>
        </w:r>
        <w:r w:rsidRPr="001C65F4">
          <w:rPr>
            <w:rStyle w:val="Lienhypertexte"/>
            <w:noProof/>
          </w:rPr>
          <w:t>Rapports</w:t>
        </w:r>
        <w:r>
          <w:rPr>
            <w:noProof/>
            <w:webHidden/>
          </w:rPr>
          <w:tab/>
        </w:r>
        <w:r>
          <w:rPr>
            <w:noProof/>
            <w:webHidden/>
          </w:rPr>
          <w:fldChar w:fldCharType="begin"/>
        </w:r>
        <w:r>
          <w:rPr>
            <w:noProof/>
            <w:webHidden/>
          </w:rPr>
          <w:instrText xml:space="preserve"> PAGEREF _Toc235518190 \h </w:instrText>
        </w:r>
        <w:r>
          <w:rPr>
            <w:noProof/>
            <w:webHidden/>
          </w:rPr>
        </w:r>
        <w:r>
          <w:rPr>
            <w:noProof/>
            <w:webHidden/>
          </w:rPr>
          <w:fldChar w:fldCharType="separate"/>
        </w:r>
        <w:r>
          <w:rPr>
            <w:noProof/>
            <w:webHidden/>
          </w:rPr>
          <w:t>41</w:t>
        </w:r>
        <w:r>
          <w:rPr>
            <w:noProof/>
            <w:webHidden/>
          </w:rPr>
          <w:fldChar w:fldCharType="end"/>
        </w:r>
      </w:hyperlink>
    </w:p>
    <w:p w14:paraId="28661E09" w14:textId="7DF462EA"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91" w:history="1">
        <w:r w:rsidRPr="001C65F4">
          <w:rPr>
            <w:rStyle w:val="Lienhypertexte"/>
            <w:noProof/>
          </w:rPr>
          <w:t>4.3.2</w:t>
        </w:r>
        <w:r>
          <w:rPr>
            <w:rFonts w:asciiTheme="minorHAnsi" w:eastAsiaTheme="minorEastAsia" w:hAnsiTheme="minorHAnsi"/>
            <w:noProof/>
            <w:color w:val="auto"/>
            <w:lang w:eastAsia="fr-FR"/>
          </w:rPr>
          <w:tab/>
        </w:r>
        <w:r w:rsidRPr="001C65F4">
          <w:rPr>
            <w:rStyle w:val="Lienhypertexte"/>
            <w:noProof/>
          </w:rPr>
          <w:t>Rendu des cartographies sous SIG</w:t>
        </w:r>
        <w:r>
          <w:rPr>
            <w:noProof/>
            <w:webHidden/>
          </w:rPr>
          <w:tab/>
        </w:r>
        <w:r>
          <w:rPr>
            <w:noProof/>
            <w:webHidden/>
          </w:rPr>
          <w:fldChar w:fldCharType="begin"/>
        </w:r>
        <w:r>
          <w:rPr>
            <w:noProof/>
            <w:webHidden/>
          </w:rPr>
          <w:instrText xml:space="preserve"> PAGEREF _Toc235518191 \h </w:instrText>
        </w:r>
        <w:r>
          <w:rPr>
            <w:noProof/>
            <w:webHidden/>
          </w:rPr>
        </w:r>
        <w:r>
          <w:rPr>
            <w:noProof/>
            <w:webHidden/>
          </w:rPr>
          <w:fldChar w:fldCharType="separate"/>
        </w:r>
        <w:r>
          <w:rPr>
            <w:noProof/>
            <w:webHidden/>
          </w:rPr>
          <w:t>41</w:t>
        </w:r>
        <w:r>
          <w:rPr>
            <w:noProof/>
            <w:webHidden/>
          </w:rPr>
          <w:fldChar w:fldCharType="end"/>
        </w:r>
      </w:hyperlink>
    </w:p>
    <w:p w14:paraId="709B143C" w14:textId="593668DA" w:rsidR="000D7048" w:rsidRDefault="000D7048">
      <w:pPr>
        <w:pStyle w:val="TM3"/>
        <w:tabs>
          <w:tab w:val="left" w:pos="1417"/>
          <w:tab w:val="right" w:leader="dot" w:pos="9968"/>
        </w:tabs>
        <w:rPr>
          <w:rFonts w:asciiTheme="minorHAnsi" w:eastAsiaTheme="minorEastAsia" w:hAnsiTheme="minorHAnsi"/>
          <w:noProof/>
          <w:color w:val="auto"/>
          <w:lang w:eastAsia="fr-FR"/>
        </w:rPr>
      </w:pPr>
      <w:hyperlink w:anchor="_Toc235518192" w:history="1">
        <w:r w:rsidRPr="001C65F4">
          <w:rPr>
            <w:rStyle w:val="Lienhypertexte"/>
            <w:noProof/>
          </w:rPr>
          <w:t>4.3.3</w:t>
        </w:r>
        <w:r>
          <w:rPr>
            <w:rFonts w:asciiTheme="minorHAnsi" w:eastAsiaTheme="minorEastAsia" w:hAnsiTheme="minorHAnsi"/>
            <w:noProof/>
            <w:color w:val="auto"/>
            <w:lang w:eastAsia="fr-FR"/>
          </w:rPr>
          <w:tab/>
        </w:r>
        <w:r w:rsidRPr="001C65F4">
          <w:rPr>
            <w:rStyle w:val="Lienhypertexte"/>
            <w:noProof/>
          </w:rPr>
          <w:t>Conditions de réception des études</w:t>
        </w:r>
        <w:r>
          <w:rPr>
            <w:noProof/>
            <w:webHidden/>
          </w:rPr>
          <w:tab/>
        </w:r>
        <w:r>
          <w:rPr>
            <w:noProof/>
            <w:webHidden/>
          </w:rPr>
          <w:fldChar w:fldCharType="begin"/>
        </w:r>
        <w:r>
          <w:rPr>
            <w:noProof/>
            <w:webHidden/>
          </w:rPr>
          <w:instrText xml:space="preserve"> PAGEREF _Toc235518192 \h </w:instrText>
        </w:r>
        <w:r>
          <w:rPr>
            <w:noProof/>
            <w:webHidden/>
          </w:rPr>
        </w:r>
        <w:r>
          <w:rPr>
            <w:noProof/>
            <w:webHidden/>
          </w:rPr>
          <w:fldChar w:fldCharType="separate"/>
        </w:r>
        <w:r>
          <w:rPr>
            <w:noProof/>
            <w:webHidden/>
          </w:rPr>
          <w:t>41</w:t>
        </w:r>
        <w:r>
          <w:rPr>
            <w:noProof/>
            <w:webHidden/>
          </w:rPr>
          <w:fldChar w:fldCharType="end"/>
        </w:r>
      </w:hyperlink>
    </w:p>
    <w:p w14:paraId="08644141" w14:textId="426043F6" w:rsidR="000D7048" w:rsidRDefault="000D7048">
      <w:pPr>
        <w:pStyle w:val="TM2"/>
        <w:tabs>
          <w:tab w:val="left" w:pos="850"/>
          <w:tab w:val="right" w:leader="dot" w:pos="9968"/>
        </w:tabs>
        <w:rPr>
          <w:rFonts w:asciiTheme="minorHAnsi" w:eastAsiaTheme="minorEastAsia" w:hAnsiTheme="minorHAnsi"/>
          <w:b w:val="0"/>
          <w:noProof/>
          <w:color w:val="auto"/>
          <w:sz w:val="22"/>
          <w:lang w:eastAsia="fr-FR"/>
        </w:rPr>
      </w:pPr>
      <w:hyperlink w:anchor="_Toc235518193" w:history="1">
        <w:r w:rsidRPr="001C65F4">
          <w:rPr>
            <w:rStyle w:val="Lienhypertexte"/>
            <w:noProof/>
            <w14:scene3d>
              <w14:camera w14:prst="orthographicFront"/>
              <w14:lightRig w14:rig="threePt" w14:dir="t">
                <w14:rot w14:lat="0" w14:lon="0" w14:rev="0"/>
              </w14:lightRig>
            </w14:scene3d>
          </w:rPr>
          <w:t>4.4</w:t>
        </w:r>
        <w:r>
          <w:rPr>
            <w:rFonts w:asciiTheme="minorHAnsi" w:eastAsiaTheme="minorEastAsia" w:hAnsiTheme="minorHAnsi"/>
            <w:b w:val="0"/>
            <w:noProof/>
            <w:color w:val="auto"/>
            <w:sz w:val="22"/>
            <w:lang w:eastAsia="fr-FR"/>
          </w:rPr>
          <w:tab/>
        </w:r>
        <w:r w:rsidRPr="001C65F4">
          <w:rPr>
            <w:rStyle w:val="Lienhypertexte"/>
            <w:noProof/>
          </w:rPr>
          <w:t>Pièces jointes pour l’élaboration de l’offre</w:t>
        </w:r>
        <w:r>
          <w:rPr>
            <w:noProof/>
            <w:webHidden/>
          </w:rPr>
          <w:tab/>
        </w:r>
        <w:r>
          <w:rPr>
            <w:noProof/>
            <w:webHidden/>
          </w:rPr>
          <w:fldChar w:fldCharType="begin"/>
        </w:r>
        <w:r>
          <w:rPr>
            <w:noProof/>
            <w:webHidden/>
          </w:rPr>
          <w:instrText xml:space="preserve"> PAGEREF _Toc235518193 \h </w:instrText>
        </w:r>
        <w:r>
          <w:rPr>
            <w:noProof/>
            <w:webHidden/>
          </w:rPr>
        </w:r>
        <w:r>
          <w:rPr>
            <w:noProof/>
            <w:webHidden/>
          </w:rPr>
          <w:fldChar w:fldCharType="separate"/>
        </w:r>
        <w:r>
          <w:rPr>
            <w:noProof/>
            <w:webHidden/>
          </w:rPr>
          <w:t>42</w:t>
        </w:r>
        <w:r>
          <w:rPr>
            <w:noProof/>
            <w:webHidden/>
          </w:rPr>
          <w:fldChar w:fldCharType="end"/>
        </w:r>
      </w:hyperlink>
    </w:p>
    <w:p w14:paraId="09280D0B" w14:textId="60005B05" w:rsidR="000D7048" w:rsidRDefault="000D7048">
      <w:pPr>
        <w:pStyle w:val="TM2"/>
        <w:tabs>
          <w:tab w:val="right" w:leader="dot" w:pos="9968"/>
        </w:tabs>
        <w:rPr>
          <w:rFonts w:asciiTheme="minorHAnsi" w:eastAsiaTheme="minorEastAsia" w:hAnsiTheme="minorHAnsi"/>
          <w:b w:val="0"/>
          <w:noProof/>
          <w:color w:val="auto"/>
          <w:sz w:val="22"/>
          <w:lang w:eastAsia="fr-FR"/>
        </w:rPr>
      </w:pPr>
      <w:hyperlink w:anchor="_Toc235518194" w:history="1">
        <w:r w:rsidRPr="001C65F4">
          <w:rPr>
            <w:rStyle w:val="Lienhypertexte"/>
            <w:noProof/>
          </w:rPr>
          <w:t>Annexe - Exemple de fiche type mesure d’adaptation (avec volet Synergies Adaptation / Atténuation)</w:t>
        </w:r>
        <w:r>
          <w:rPr>
            <w:noProof/>
            <w:webHidden/>
          </w:rPr>
          <w:tab/>
        </w:r>
        <w:r>
          <w:rPr>
            <w:noProof/>
            <w:webHidden/>
          </w:rPr>
          <w:fldChar w:fldCharType="begin"/>
        </w:r>
        <w:r>
          <w:rPr>
            <w:noProof/>
            <w:webHidden/>
          </w:rPr>
          <w:instrText xml:space="preserve"> PAGEREF _Toc235518194 \h </w:instrText>
        </w:r>
        <w:r>
          <w:rPr>
            <w:noProof/>
            <w:webHidden/>
          </w:rPr>
        </w:r>
        <w:r>
          <w:rPr>
            <w:noProof/>
            <w:webHidden/>
          </w:rPr>
          <w:fldChar w:fldCharType="separate"/>
        </w:r>
        <w:r>
          <w:rPr>
            <w:noProof/>
            <w:webHidden/>
          </w:rPr>
          <w:t>43</w:t>
        </w:r>
        <w:r>
          <w:rPr>
            <w:noProof/>
            <w:webHidden/>
          </w:rPr>
          <w:fldChar w:fldCharType="end"/>
        </w:r>
      </w:hyperlink>
    </w:p>
    <w:p w14:paraId="7262D5BF" w14:textId="5108069B" w:rsidR="004245B5" w:rsidRDefault="004F4EFD" w:rsidP="004137B5">
      <w:pPr>
        <w:shd w:val="clear" w:color="FFFFFF" w:themeColor="background1" w:fill="FFFFFF" w:themeFill="background1"/>
        <w:rPr>
          <w:rFonts w:cs="Arial"/>
        </w:rPr>
      </w:pPr>
      <w:r>
        <w:rPr>
          <w:rFonts w:cs="Arial"/>
        </w:rPr>
        <w:fldChar w:fldCharType="end"/>
      </w:r>
      <w:r>
        <w:rPr>
          <w:rFonts w:cs="Arial"/>
        </w:rPr>
        <w:br w:type="page" w:clear="all"/>
      </w:r>
    </w:p>
    <w:p w14:paraId="54AF06BB" w14:textId="05937DED" w:rsidR="004245B5" w:rsidRDefault="008B1F62" w:rsidP="00EF39BE">
      <w:pPr>
        <w:pStyle w:val="Titre1"/>
        <w:rPr>
          <w:rFonts w:cs="Arial"/>
        </w:rPr>
      </w:pPr>
      <w:bookmarkStart w:id="0" w:name="_Toc235518159"/>
      <w:r>
        <w:rPr>
          <w:rFonts w:cs="Arial"/>
        </w:rPr>
        <w:lastRenderedPageBreak/>
        <w:t>Introduction</w:t>
      </w:r>
      <w:bookmarkEnd w:id="0"/>
    </w:p>
    <w:p w14:paraId="30821001" w14:textId="2D29F84D" w:rsidR="00867949" w:rsidRPr="00867949" w:rsidRDefault="00867949" w:rsidP="00EF39BE">
      <w:pPr>
        <w:pStyle w:val="Titre2"/>
      </w:pPr>
      <w:bookmarkStart w:id="1" w:name="_Toc235518160"/>
      <w:r w:rsidRPr="00867949">
        <w:t xml:space="preserve">Contexte </w:t>
      </w:r>
      <w:r w:rsidR="008B1F62">
        <w:t>de l’étude</w:t>
      </w:r>
      <w:bookmarkEnd w:id="1"/>
    </w:p>
    <w:p w14:paraId="4CE412AE" w14:textId="38518319" w:rsidR="00C15F4E" w:rsidRPr="00C15F4E" w:rsidRDefault="00D64A9A" w:rsidP="00EF39BE">
      <w:pPr>
        <w:pStyle w:val="NormalNoir"/>
        <w:rPr>
          <w:rFonts w:eastAsia="Calibri" w:cs="Times New Roman"/>
          <w:color w:val="292574"/>
        </w:rPr>
      </w:pPr>
      <w:r>
        <w:rPr>
          <w:rFonts w:eastAsia="Calibri" w:cs="Times New Roman"/>
          <w:color w:val="292574"/>
        </w:rPr>
        <w:tab/>
      </w:r>
      <w:r w:rsidR="00C15F4E" w:rsidRPr="00C15F4E">
        <w:rPr>
          <w:rFonts w:eastAsia="Calibri" w:cs="Times New Roman"/>
          <w:color w:val="292574"/>
        </w:rPr>
        <w:t>Dans le cadre de la mise en œuvre du troisième Plan national d’adaptation au changement climatique (PNACC 3), adopté le 10 mars 2025 par le gouvernement français, et de la trajectoire de référence pour l’adaptation au changement climatique (TRACC), la Direction générale des infrastructures, des transports et des mobilités (DGITM) a identifié les Grand ports maritimes (GPM) comme infrastructures stratégiques prioritaires pour l’intégration de l’adaptation au changement climatique.</w:t>
      </w:r>
    </w:p>
    <w:p w14:paraId="1B8459BC" w14:textId="2A1F1C37" w:rsidR="00C15F4E" w:rsidRDefault="00D64A9A" w:rsidP="00EF39BE">
      <w:pPr>
        <w:pStyle w:val="NormalNoir"/>
        <w:rPr>
          <w:rFonts w:eastAsia="Calibri" w:cs="Times New Roman"/>
          <w:color w:val="292574"/>
        </w:rPr>
      </w:pPr>
      <w:r>
        <w:rPr>
          <w:rFonts w:eastAsia="Calibri" w:cs="Times New Roman"/>
          <w:color w:val="292574"/>
        </w:rPr>
        <w:tab/>
      </w:r>
      <w:r w:rsidR="00B613B7">
        <w:rPr>
          <w:rFonts w:eastAsia="Calibri" w:cs="Times New Roman"/>
          <w:color w:val="292574"/>
        </w:rPr>
        <w:t>L</w:t>
      </w:r>
      <w:r w:rsidR="00C15F4E" w:rsidRPr="00C15F4E">
        <w:rPr>
          <w:rFonts w:eastAsia="Calibri" w:cs="Times New Roman"/>
          <w:color w:val="292574"/>
        </w:rPr>
        <w:t xml:space="preserve">e GPM </w:t>
      </w:r>
      <w:r w:rsidR="00B613B7">
        <w:rPr>
          <w:rFonts w:eastAsia="Calibri" w:cs="Times New Roman"/>
          <w:color w:val="292574"/>
        </w:rPr>
        <w:t xml:space="preserve">de </w:t>
      </w:r>
      <w:r w:rsidR="00C15F4E" w:rsidRPr="00C15F4E">
        <w:rPr>
          <w:rFonts w:eastAsia="Calibri" w:cs="Times New Roman"/>
          <w:color w:val="292574"/>
        </w:rPr>
        <w:t>Guyane a</w:t>
      </w:r>
      <w:r w:rsidR="00E64D23">
        <w:rPr>
          <w:rFonts w:eastAsia="Calibri" w:cs="Times New Roman"/>
          <w:color w:val="292574"/>
        </w:rPr>
        <w:t>vait</w:t>
      </w:r>
      <w:r w:rsidR="00C15F4E" w:rsidRPr="00C15F4E">
        <w:rPr>
          <w:rFonts w:eastAsia="Calibri" w:cs="Times New Roman"/>
          <w:color w:val="292574"/>
        </w:rPr>
        <w:t xml:space="preserve"> déjà intégré un volet d’adaptation au changement climatique dans son projet stratégique 2024-2028. </w:t>
      </w:r>
      <w:r w:rsidR="00E64D23">
        <w:rPr>
          <w:rFonts w:eastAsia="Calibri" w:cs="Times New Roman"/>
          <w:color w:val="292574"/>
        </w:rPr>
        <w:t xml:space="preserve">Le GPMG a également engagé en 2024 une démarche visant à définir sa stratégie de résilience et d’adaptation au changement climatique pour un horizon fixé à 2050 et disposer d’éléments pour l’horizon 2100. </w:t>
      </w:r>
    </w:p>
    <w:p w14:paraId="4D5834D4" w14:textId="068A446C" w:rsidR="00B613B7" w:rsidRDefault="00D64A9A" w:rsidP="00EF39BE">
      <w:pPr>
        <w:pStyle w:val="NormalNoir"/>
        <w:rPr>
          <w:rFonts w:eastAsia="Calibri" w:cs="Times New Roman"/>
          <w:color w:val="292574"/>
        </w:rPr>
      </w:pPr>
      <w:r>
        <w:rPr>
          <w:rFonts w:eastAsia="Calibri" w:cs="Times New Roman"/>
          <w:color w:val="292574"/>
        </w:rPr>
        <w:tab/>
      </w:r>
      <w:r w:rsidR="00314FEE">
        <w:rPr>
          <w:rFonts w:eastAsia="Calibri" w:cs="Times New Roman"/>
          <w:color w:val="292574"/>
        </w:rPr>
        <w:t xml:space="preserve">L’étude, objet du présent marché, vise à réaliser </w:t>
      </w:r>
      <w:r w:rsidR="002928FD">
        <w:rPr>
          <w:rFonts w:eastAsia="Calibri" w:cs="Times New Roman"/>
          <w:color w:val="292574"/>
        </w:rPr>
        <w:t>l’analyse</w:t>
      </w:r>
      <w:r w:rsidR="00314FEE">
        <w:rPr>
          <w:rFonts w:eastAsia="Calibri" w:cs="Times New Roman"/>
          <w:color w:val="292574"/>
        </w:rPr>
        <w:t xml:space="preserve"> complète de vulnérabilité et de résilience au changement climatique du GPMG.</w:t>
      </w:r>
      <w:r w:rsidR="00E64D23">
        <w:rPr>
          <w:rFonts w:eastAsia="Calibri" w:cs="Times New Roman"/>
          <w:color w:val="292574"/>
        </w:rPr>
        <w:t xml:space="preserve"> </w:t>
      </w:r>
      <w:r w:rsidR="00B613B7">
        <w:rPr>
          <w:rFonts w:eastAsia="Calibri" w:cs="Times New Roman"/>
          <w:color w:val="292574"/>
        </w:rPr>
        <w:t>Pour l’accompagner dans ces démarches requérant des compétences et savoir-faire particulier, le GPM de Guyane a fait appel à l’assistance du Cerema, qui a développé une expertise reconnue en matière de résilience des réseaux de transport au changement climatique.</w:t>
      </w:r>
    </w:p>
    <w:p w14:paraId="4B7D3195" w14:textId="1BDB00D3" w:rsidR="007E108A" w:rsidRDefault="00314FEE" w:rsidP="00EF39BE">
      <w:pPr>
        <w:pStyle w:val="NormalNoir"/>
        <w:rPr>
          <w:rFonts w:eastAsia="Calibri" w:cs="Times New Roman"/>
          <w:color w:val="292574"/>
        </w:rPr>
      </w:pPr>
      <w:r>
        <w:rPr>
          <w:rFonts w:eastAsia="Calibri" w:cs="Times New Roman"/>
          <w:color w:val="292574"/>
        </w:rPr>
        <w:t>Avec la parution du premier Plan national d’adaptation au changement climatique (PNACC) entre autres</w:t>
      </w:r>
      <w:r w:rsidR="00F548A1">
        <w:rPr>
          <w:rFonts w:eastAsia="Calibri" w:cs="Times New Roman"/>
          <w:color w:val="292574"/>
        </w:rPr>
        <w:t xml:space="preserve"> et l’élaboration en cours du PRACC</w:t>
      </w:r>
      <w:r>
        <w:rPr>
          <w:rFonts w:eastAsia="Calibri" w:cs="Times New Roman"/>
          <w:color w:val="292574"/>
        </w:rPr>
        <w:t>, le Cerema s’est engagé dans le développement d’outils pratiques et l’accompagnement des gestionnaires d’infrastructures pour les aider dans leur démarche de résilience au changement climatique. Il a notamment élaboré une méthodologie d’analyse des vulnérabilités physiques et fonctionnelles des réseaux de transport, la méthode ASAIT à travers le guide méthodologique « Vulnérabilités et risques : les infrastructures de transport face au climat »</w:t>
      </w:r>
      <w:r w:rsidR="00D64A9A">
        <w:rPr>
          <w:rStyle w:val="Appelnotedebasdep"/>
          <w:rFonts w:eastAsia="Calibri" w:cs="Times New Roman"/>
          <w:color w:val="292574"/>
        </w:rPr>
        <w:footnoteReference w:id="1"/>
      </w:r>
      <w:r>
        <w:rPr>
          <w:rFonts w:eastAsia="Calibri" w:cs="Times New Roman"/>
          <w:color w:val="292574"/>
        </w:rPr>
        <w:t>.</w:t>
      </w:r>
      <w:r w:rsidR="00E64D23">
        <w:rPr>
          <w:rFonts w:eastAsia="Calibri" w:cs="Times New Roman"/>
          <w:color w:val="292574"/>
        </w:rPr>
        <w:t xml:space="preserve"> </w:t>
      </w:r>
      <w:r w:rsidR="00D63DA7">
        <w:rPr>
          <w:rFonts w:eastAsia="Calibri" w:cs="Times New Roman"/>
          <w:color w:val="292574"/>
        </w:rPr>
        <w:t>La</w:t>
      </w:r>
      <w:r w:rsidR="00E64D23">
        <w:rPr>
          <w:rFonts w:eastAsia="Calibri" w:cs="Times New Roman"/>
          <w:color w:val="292574"/>
        </w:rPr>
        <w:t xml:space="preserve"> </w:t>
      </w:r>
      <w:r w:rsidR="00D63DA7">
        <w:rPr>
          <w:rFonts w:eastAsia="Calibri" w:cs="Times New Roman"/>
          <w:color w:val="292574"/>
        </w:rPr>
        <w:t xml:space="preserve">méthodologie comprend également la définition d’une stratégie d’adaptation au changement climatique avec des solutions priorisées. L’objectif de la démarche est d’aider les gestionnaires </w:t>
      </w:r>
      <w:r w:rsidR="00D63DA7" w:rsidRPr="00500F1F">
        <w:rPr>
          <w:rFonts w:eastAsia="Calibri" w:cs="Times New Roman"/>
          <w:color w:val="292574"/>
        </w:rPr>
        <w:t>d</w:t>
      </w:r>
      <w:r w:rsidR="00E64D23" w:rsidRPr="00500F1F">
        <w:rPr>
          <w:rFonts w:eastAsia="Calibri" w:cs="Times New Roman"/>
          <w:color w:val="292574"/>
        </w:rPr>
        <w:t>’infra</w:t>
      </w:r>
      <w:r w:rsidR="008808C6" w:rsidRPr="00500F1F">
        <w:rPr>
          <w:rFonts w:eastAsia="Calibri" w:cs="Times New Roman"/>
          <w:color w:val="292574"/>
        </w:rPr>
        <w:t>s</w:t>
      </w:r>
      <w:r w:rsidR="00E64D23" w:rsidRPr="00500F1F">
        <w:rPr>
          <w:rFonts w:eastAsia="Calibri" w:cs="Times New Roman"/>
          <w:color w:val="292574"/>
        </w:rPr>
        <w:t>tructures</w:t>
      </w:r>
      <w:r w:rsidR="00E64D23">
        <w:rPr>
          <w:rFonts w:eastAsia="Calibri" w:cs="Times New Roman"/>
          <w:color w:val="292574"/>
        </w:rPr>
        <w:t xml:space="preserve"> de transport </w:t>
      </w:r>
      <w:r w:rsidR="00D63DA7">
        <w:rPr>
          <w:rFonts w:eastAsia="Calibri" w:cs="Times New Roman"/>
          <w:color w:val="292574"/>
        </w:rPr>
        <w:t xml:space="preserve">à adapter leurs solutions techniques – notamment – aux contraintes climatiques futures et à prioriser les solutions d’adaptation, pour améliorer les politiques et stratégies de gestion et optimiser les dépenses budgétaires. </w:t>
      </w:r>
    </w:p>
    <w:p w14:paraId="71035D88" w14:textId="1CE40636" w:rsidR="00314FEE" w:rsidRDefault="007E108A" w:rsidP="00EF39BE">
      <w:pPr>
        <w:pStyle w:val="NormalNoir"/>
        <w:rPr>
          <w:rFonts w:eastAsia="Calibri" w:cs="Times New Roman"/>
          <w:color w:val="292574"/>
        </w:rPr>
      </w:pPr>
      <w:r>
        <w:rPr>
          <w:rFonts w:eastAsia="Calibri" w:cs="Times New Roman"/>
          <w:color w:val="292574"/>
        </w:rPr>
        <w:tab/>
      </w:r>
      <w:r w:rsidR="003B04B7">
        <w:rPr>
          <w:rFonts w:eastAsia="Calibri" w:cs="Times New Roman"/>
          <w:color w:val="292574"/>
        </w:rPr>
        <w:t>C’est cette démarche que le GPM de Guyane souhaite aujourd’hui mettre en œuvre.</w:t>
      </w:r>
      <w:r w:rsidR="00E64D23">
        <w:rPr>
          <w:rFonts w:eastAsia="Calibri" w:cs="Times New Roman"/>
          <w:color w:val="292574"/>
        </w:rPr>
        <w:t xml:space="preserve"> </w:t>
      </w:r>
      <w:r w:rsidR="00E64D23" w:rsidRPr="00E64D23">
        <w:rPr>
          <w:rFonts w:eastAsia="Calibri" w:cs="Times New Roman"/>
          <w:color w:val="292574"/>
        </w:rPr>
        <w:t>Cette étude de la résilience des infrastructures portuaires nécessite une approche systémique compte tenu de leur interconnexion avec l’ensemble des réseaux, pour permettre d’assurer la fiabilité de leurs services rendus.</w:t>
      </w:r>
    </w:p>
    <w:p w14:paraId="352160C4" w14:textId="6524868C" w:rsidR="00737BB8" w:rsidRDefault="007E108A" w:rsidP="00EF39BE">
      <w:pPr>
        <w:pStyle w:val="NormalNoir"/>
        <w:rPr>
          <w:rFonts w:eastAsia="Calibri" w:cs="Times New Roman"/>
          <w:b/>
          <w:bCs/>
          <w:color w:val="292574"/>
        </w:rPr>
      </w:pPr>
      <w:r>
        <w:rPr>
          <w:rFonts w:eastAsia="Calibri" w:cs="Times New Roman"/>
          <w:b/>
          <w:bCs/>
          <w:color w:val="292574"/>
        </w:rPr>
        <w:tab/>
      </w:r>
      <w:r w:rsidR="003B04B7" w:rsidRPr="003B04B7">
        <w:rPr>
          <w:rFonts w:eastAsia="Calibri" w:cs="Times New Roman"/>
          <w:b/>
          <w:bCs/>
          <w:color w:val="292574"/>
        </w:rPr>
        <w:t>La mission décrite dans ce cahier des charges porte sur une analyse de résilience aux effets du changement climatique ciblée pour le GPM de Guyane (</w:t>
      </w:r>
      <w:r w:rsidR="00457752">
        <w:rPr>
          <w:rFonts w:eastAsia="Calibri" w:cs="Times New Roman"/>
          <w:b/>
          <w:bCs/>
          <w:color w:val="292574"/>
        </w:rPr>
        <w:t>C</w:t>
      </w:r>
      <w:r w:rsidR="003B04B7" w:rsidRPr="003B04B7">
        <w:rPr>
          <w:rFonts w:eastAsia="Calibri" w:cs="Times New Roman"/>
          <w:b/>
          <w:bCs/>
          <w:color w:val="292574"/>
        </w:rPr>
        <w:t xml:space="preserve">f </w:t>
      </w:r>
      <w:r w:rsidR="00841EFE">
        <w:rPr>
          <w:rFonts w:eastAsia="Calibri" w:cs="Times New Roman"/>
          <w:b/>
          <w:bCs/>
          <w:color w:val="292574"/>
        </w:rPr>
        <w:fldChar w:fldCharType="begin"/>
      </w:r>
      <w:r w:rsidR="00841EFE">
        <w:rPr>
          <w:rFonts w:eastAsia="Calibri" w:cs="Times New Roman"/>
          <w:b/>
          <w:bCs/>
          <w:color w:val="292574"/>
        </w:rPr>
        <w:instrText xml:space="preserve"> REF _Ref228803368 \r \h </w:instrText>
      </w:r>
      <w:r w:rsidR="00841EFE">
        <w:rPr>
          <w:rFonts w:eastAsia="Calibri" w:cs="Times New Roman"/>
          <w:b/>
          <w:bCs/>
          <w:color w:val="292574"/>
        </w:rPr>
      </w:r>
      <w:r w:rsidR="00841EFE">
        <w:rPr>
          <w:rFonts w:eastAsia="Calibri" w:cs="Times New Roman"/>
          <w:b/>
          <w:bCs/>
          <w:color w:val="292574"/>
        </w:rPr>
        <w:fldChar w:fldCharType="separate"/>
      </w:r>
      <w:r w:rsidR="00005975">
        <w:rPr>
          <w:rFonts w:eastAsia="Calibri" w:cs="Times New Roman"/>
          <w:b/>
          <w:bCs/>
          <w:color w:val="292574"/>
        </w:rPr>
        <w:t>2</w:t>
      </w:r>
      <w:r w:rsidR="00841EFE">
        <w:rPr>
          <w:rFonts w:eastAsia="Calibri" w:cs="Times New Roman"/>
          <w:b/>
          <w:bCs/>
          <w:color w:val="292574"/>
        </w:rPr>
        <w:fldChar w:fldCharType="end"/>
      </w:r>
      <w:r w:rsidR="003B04B7" w:rsidRPr="003B04B7">
        <w:rPr>
          <w:rFonts w:eastAsia="Calibri" w:cs="Times New Roman"/>
          <w:b/>
          <w:bCs/>
          <w:color w:val="292574"/>
        </w:rPr>
        <w:t xml:space="preserve">). Son contenu a été établi suite à la conduite d’une étude préalable, de définition des objectifs, des périmètres, des aléas climatiques prioritaires et d’une gouvernance en </w:t>
      </w:r>
      <w:r w:rsidR="00737BB8" w:rsidRPr="003B04B7">
        <w:rPr>
          <w:rFonts w:eastAsia="Calibri" w:cs="Times New Roman"/>
          <w:b/>
          <w:bCs/>
          <w:color w:val="292574"/>
        </w:rPr>
        <w:t>quatre instances</w:t>
      </w:r>
      <w:r w:rsidR="003B04B7" w:rsidRPr="003B04B7">
        <w:rPr>
          <w:rFonts w:eastAsia="Calibri" w:cs="Times New Roman"/>
          <w:b/>
          <w:bCs/>
          <w:color w:val="292574"/>
        </w:rPr>
        <w:t>. En effet, l</w:t>
      </w:r>
      <w:r w:rsidR="00C15F4E" w:rsidRPr="003B04B7">
        <w:rPr>
          <w:rFonts w:eastAsia="Calibri" w:cs="Times New Roman"/>
          <w:b/>
          <w:bCs/>
          <w:color w:val="292574"/>
        </w:rPr>
        <w:t xml:space="preserve">e GPMG a sollicité le Cerema dès octobre 2024 pour réaliser l’étape 1 de </w:t>
      </w:r>
      <w:r w:rsidR="003B04B7" w:rsidRPr="003B04B7">
        <w:rPr>
          <w:rFonts w:eastAsia="Calibri" w:cs="Times New Roman"/>
          <w:b/>
          <w:bCs/>
          <w:color w:val="292574"/>
        </w:rPr>
        <w:t>la méthode ASAIT</w:t>
      </w:r>
      <w:r w:rsidR="00C15F4E" w:rsidRPr="003B04B7">
        <w:rPr>
          <w:rFonts w:eastAsia="Calibri" w:cs="Times New Roman"/>
          <w:b/>
          <w:bCs/>
          <w:color w:val="292574"/>
        </w:rPr>
        <w:t xml:space="preserve">. </w:t>
      </w:r>
    </w:p>
    <w:p w14:paraId="34B47DC8" w14:textId="17C8E97D" w:rsidR="00C15F4E" w:rsidRPr="00737BB8" w:rsidRDefault="00C15F4E" w:rsidP="00EF39BE">
      <w:pPr>
        <w:pStyle w:val="NormalNoir"/>
        <w:rPr>
          <w:rFonts w:eastAsia="Calibri" w:cs="Times New Roman"/>
          <w:color w:val="292574"/>
        </w:rPr>
      </w:pPr>
      <w:r w:rsidRPr="00737BB8">
        <w:rPr>
          <w:rFonts w:eastAsia="Calibri" w:cs="Times New Roman"/>
          <w:color w:val="292574"/>
        </w:rPr>
        <w:t>Le rapport de phase 1</w:t>
      </w:r>
      <w:r w:rsidR="007E108A">
        <w:rPr>
          <w:rStyle w:val="Appelnotedebasdep"/>
          <w:rFonts w:eastAsia="Calibri" w:cs="Times New Roman"/>
          <w:color w:val="292574"/>
        </w:rPr>
        <w:footnoteReference w:id="2"/>
      </w:r>
      <w:r w:rsidRPr="00737BB8">
        <w:rPr>
          <w:rFonts w:eastAsia="Calibri" w:cs="Times New Roman"/>
          <w:color w:val="292574"/>
        </w:rPr>
        <w:t xml:space="preserve"> (décembre 2024 – avril 2025) conclut que :</w:t>
      </w:r>
    </w:p>
    <w:p w14:paraId="0B4A2445" w14:textId="335EFE69" w:rsidR="00C15F4E" w:rsidRPr="00737BB8" w:rsidRDefault="00C15F4E" w:rsidP="00E45AE5">
      <w:pPr>
        <w:pStyle w:val="NormalNoir"/>
        <w:numPr>
          <w:ilvl w:val="0"/>
          <w:numId w:val="26"/>
        </w:numPr>
        <w:rPr>
          <w:rFonts w:eastAsia="Calibri" w:cs="Times New Roman"/>
          <w:color w:val="292574"/>
        </w:rPr>
      </w:pPr>
      <w:r w:rsidRPr="00737BB8">
        <w:rPr>
          <w:rFonts w:eastAsia="Calibri" w:cs="Times New Roman"/>
          <w:color w:val="292574"/>
        </w:rPr>
        <w:t>Le GPMG, infrastructure stratégique pour l’économie guyanaise, bénéficie d’infrastructures récentes limitant la vulnérabilité immédiate.</w:t>
      </w:r>
    </w:p>
    <w:p w14:paraId="6BB4F4F1" w14:textId="568F43BB" w:rsidR="00324EF2" w:rsidRDefault="00C15F4E" w:rsidP="00E45AE5">
      <w:pPr>
        <w:pStyle w:val="NormalNoir"/>
        <w:numPr>
          <w:ilvl w:val="0"/>
          <w:numId w:val="26"/>
        </w:numPr>
        <w:rPr>
          <w:rFonts w:eastAsia="Calibri" w:cs="Times New Roman"/>
          <w:color w:val="292574"/>
        </w:rPr>
      </w:pPr>
      <w:r w:rsidRPr="00737BB8">
        <w:rPr>
          <w:rFonts w:eastAsia="Calibri" w:cs="Times New Roman"/>
          <w:color w:val="292574"/>
        </w:rPr>
        <w:t xml:space="preserve">Une démarche proactive reste indispensable face aux aléas à long terme (horizon 2100), avec </w:t>
      </w:r>
      <w:r w:rsidR="009C02BC">
        <w:rPr>
          <w:rFonts w:eastAsia="Calibri" w:cs="Times New Roman"/>
          <w:color w:val="292574"/>
        </w:rPr>
        <w:t xml:space="preserve">comme </w:t>
      </w:r>
      <w:r w:rsidRPr="00737BB8">
        <w:rPr>
          <w:rFonts w:eastAsia="Calibri" w:cs="Times New Roman"/>
          <w:color w:val="292574"/>
        </w:rPr>
        <w:t>priorités</w:t>
      </w:r>
      <w:r w:rsidR="009C02BC">
        <w:rPr>
          <w:rFonts w:eastAsia="Calibri" w:cs="Times New Roman"/>
          <w:color w:val="292574"/>
        </w:rPr>
        <w:t xml:space="preserve"> </w:t>
      </w:r>
      <w:r w:rsidRPr="00737BB8">
        <w:rPr>
          <w:rFonts w:eastAsia="Calibri" w:cs="Times New Roman"/>
          <w:color w:val="292574"/>
        </w:rPr>
        <w:t xml:space="preserve">: </w:t>
      </w:r>
      <w:r w:rsidR="009C02BC">
        <w:rPr>
          <w:rFonts w:eastAsia="Calibri" w:cs="Times New Roman"/>
          <w:color w:val="292574"/>
        </w:rPr>
        <w:t>l’</w:t>
      </w:r>
      <w:r w:rsidRPr="00737BB8">
        <w:rPr>
          <w:rFonts w:eastAsia="Calibri" w:cs="Times New Roman"/>
          <w:color w:val="292574"/>
        </w:rPr>
        <w:t>élaboration d’un Plan de Continuité d’Activité global,</w:t>
      </w:r>
      <w:r w:rsidR="009C02BC">
        <w:rPr>
          <w:rFonts w:eastAsia="Calibri" w:cs="Times New Roman"/>
          <w:color w:val="292574"/>
        </w:rPr>
        <w:t xml:space="preserve"> </w:t>
      </w:r>
      <w:r w:rsidR="00FB2FDC">
        <w:rPr>
          <w:rFonts w:eastAsia="Calibri" w:cs="Times New Roman"/>
          <w:color w:val="292574"/>
        </w:rPr>
        <w:t>l’</w:t>
      </w:r>
      <w:r w:rsidR="009C02BC">
        <w:rPr>
          <w:rFonts w:eastAsia="Calibri" w:cs="Times New Roman"/>
          <w:color w:val="292574"/>
        </w:rPr>
        <w:t>anticip</w:t>
      </w:r>
      <w:r w:rsidR="00FB2FDC">
        <w:rPr>
          <w:rFonts w:eastAsia="Calibri" w:cs="Times New Roman"/>
          <w:color w:val="292574"/>
        </w:rPr>
        <w:t>ation</w:t>
      </w:r>
      <w:r w:rsidR="009C02BC">
        <w:rPr>
          <w:rFonts w:eastAsia="Calibri" w:cs="Times New Roman"/>
          <w:color w:val="292574"/>
        </w:rPr>
        <w:t xml:space="preserve"> des</w:t>
      </w:r>
      <w:r w:rsidRPr="00737BB8">
        <w:rPr>
          <w:rFonts w:eastAsia="Calibri" w:cs="Times New Roman"/>
          <w:color w:val="292574"/>
        </w:rPr>
        <w:t xml:space="preserve"> investissements cohérents avec le climat futur, </w:t>
      </w:r>
      <w:r w:rsidR="00FB2FDC">
        <w:rPr>
          <w:rFonts w:eastAsia="Calibri" w:cs="Times New Roman"/>
          <w:color w:val="292574"/>
        </w:rPr>
        <w:t>le maintien</w:t>
      </w:r>
      <w:r w:rsidRPr="00737BB8">
        <w:rPr>
          <w:rFonts w:eastAsia="Calibri" w:cs="Times New Roman"/>
          <w:color w:val="292574"/>
        </w:rPr>
        <w:t xml:space="preserve"> </w:t>
      </w:r>
      <w:r w:rsidR="00FB2FDC">
        <w:rPr>
          <w:rFonts w:eastAsia="Calibri" w:cs="Times New Roman"/>
          <w:color w:val="292574"/>
        </w:rPr>
        <w:t>d</w:t>
      </w:r>
      <w:r w:rsidRPr="00737BB8">
        <w:rPr>
          <w:rFonts w:eastAsia="Calibri" w:cs="Times New Roman"/>
          <w:color w:val="292574"/>
        </w:rPr>
        <w:t xml:space="preserve">es capacités </w:t>
      </w:r>
      <w:r w:rsidR="009C02BC">
        <w:rPr>
          <w:rFonts w:eastAsia="Calibri" w:cs="Times New Roman"/>
          <w:color w:val="292574"/>
        </w:rPr>
        <w:t>d’</w:t>
      </w:r>
      <w:r w:rsidRPr="00737BB8">
        <w:rPr>
          <w:rFonts w:eastAsia="Calibri" w:cs="Times New Roman"/>
          <w:color w:val="292574"/>
        </w:rPr>
        <w:t xml:space="preserve">import/export, </w:t>
      </w:r>
      <w:r w:rsidR="009C02BC">
        <w:rPr>
          <w:rFonts w:eastAsia="Calibri" w:cs="Times New Roman"/>
          <w:color w:val="292574"/>
        </w:rPr>
        <w:t xml:space="preserve">la </w:t>
      </w:r>
      <w:r w:rsidRPr="00737BB8">
        <w:rPr>
          <w:rFonts w:eastAsia="Calibri" w:cs="Times New Roman"/>
          <w:color w:val="292574"/>
        </w:rPr>
        <w:t xml:space="preserve">sécurité des usagers, </w:t>
      </w:r>
      <w:r w:rsidR="00FB2FDC">
        <w:rPr>
          <w:rFonts w:eastAsia="Calibri" w:cs="Times New Roman"/>
          <w:color w:val="292574"/>
        </w:rPr>
        <w:t>le maintien</w:t>
      </w:r>
      <w:r w:rsidR="009C02BC">
        <w:rPr>
          <w:rFonts w:eastAsia="Calibri" w:cs="Times New Roman"/>
          <w:color w:val="292574"/>
        </w:rPr>
        <w:t xml:space="preserve"> </w:t>
      </w:r>
      <w:r w:rsidR="00FB2FDC">
        <w:rPr>
          <w:rFonts w:eastAsia="Calibri" w:cs="Times New Roman"/>
          <w:color w:val="292574"/>
        </w:rPr>
        <w:t>d</w:t>
      </w:r>
      <w:r w:rsidR="009C02BC">
        <w:rPr>
          <w:rFonts w:eastAsia="Calibri" w:cs="Times New Roman"/>
          <w:color w:val="292574"/>
        </w:rPr>
        <w:t xml:space="preserve">es </w:t>
      </w:r>
      <w:r w:rsidRPr="00737BB8">
        <w:rPr>
          <w:rFonts w:eastAsia="Calibri" w:cs="Times New Roman"/>
          <w:color w:val="292574"/>
        </w:rPr>
        <w:t>accès nautique</w:t>
      </w:r>
      <w:r w:rsidR="009C02BC">
        <w:rPr>
          <w:rFonts w:eastAsia="Calibri" w:cs="Times New Roman"/>
          <w:color w:val="292574"/>
        </w:rPr>
        <w:t xml:space="preserve">s et </w:t>
      </w:r>
      <w:r w:rsidRPr="00737BB8">
        <w:rPr>
          <w:rFonts w:eastAsia="Calibri" w:cs="Times New Roman"/>
          <w:color w:val="292574"/>
        </w:rPr>
        <w:t>routier</w:t>
      </w:r>
      <w:r w:rsidR="009C02BC">
        <w:rPr>
          <w:rFonts w:eastAsia="Calibri" w:cs="Times New Roman"/>
          <w:color w:val="292574"/>
        </w:rPr>
        <w:t>s</w:t>
      </w:r>
      <w:r w:rsidRPr="00737BB8">
        <w:rPr>
          <w:rFonts w:eastAsia="Calibri" w:cs="Times New Roman"/>
          <w:color w:val="292574"/>
        </w:rPr>
        <w:t xml:space="preserve"> (</w:t>
      </w:r>
      <w:r w:rsidR="00FB2FDC">
        <w:rPr>
          <w:rFonts w:eastAsia="Calibri" w:cs="Times New Roman"/>
          <w:color w:val="292574"/>
        </w:rPr>
        <w:t xml:space="preserve">avec une </w:t>
      </w:r>
      <w:r w:rsidRPr="00737BB8">
        <w:rPr>
          <w:rFonts w:eastAsia="Calibri" w:cs="Times New Roman"/>
          <w:color w:val="292574"/>
        </w:rPr>
        <w:t>rupture maximale</w:t>
      </w:r>
      <w:r w:rsidR="00FB2FDC">
        <w:rPr>
          <w:rFonts w:eastAsia="Calibri" w:cs="Times New Roman"/>
          <w:color w:val="292574"/>
        </w:rPr>
        <w:t xml:space="preserve"> de</w:t>
      </w:r>
      <w:r w:rsidRPr="00737BB8">
        <w:rPr>
          <w:rFonts w:eastAsia="Calibri" w:cs="Times New Roman"/>
          <w:color w:val="292574"/>
        </w:rPr>
        <w:t xml:space="preserve"> 7 jours)</w:t>
      </w:r>
      <w:r w:rsidR="00FB2FDC">
        <w:rPr>
          <w:rFonts w:eastAsia="Calibri" w:cs="Times New Roman"/>
          <w:color w:val="292574"/>
        </w:rPr>
        <w:t xml:space="preserve"> et enfin</w:t>
      </w:r>
      <w:r w:rsidRPr="00737BB8">
        <w:rPr>
          <w:rFonts w:eastAsia="Calibri" w:cs="Times New Roman"/>
          <w:color w:val="292574"/>
        </w:rPr>
        <w:t xml:space="preserve"> </w:t>
      </w:r>
      <w:r w:rsidR="009C02BC">
        <w:rPr>
          <w:rFonts w:eastAsia="Calibri" w:cs="Times New Roman"/>
          <w:color w:val="292574"/>
        </w:rPr>
        <w:t xml:space="preserve">le </w:t>
      </w:r>
      <w:r w:rsidRPr="00737BB8">
        <w:rPr>
          <w:rFonts w:eastAsia="Calibri" w:cs="Times New Roman"/>
          <w:color w:val="292574"/>
        </w:rPr>
        <w:t>renforcement de la surveillance</w:t>
      </w:r>
      <w:r w:rsidR="009C02BC">
        <w:rPr>
          <w:rFonts w:eastAsia="Calibri" w:cs="Times New Roman"/>
          <w:color w:val="292574"/>
        </w:rPr>
        <w:t>, de l’</w:t>
      </w:r>
      <w:r w:rsidRPr="00737BB8">
        <w:rPr>
          <w:rFonts w:eastAsia="Calibri" w:cs="Times New Roman"/>
          <w:color w:val="292574"/>
        </w:rPr>
        <w:t xml:space="preserve">instrumentation et </w:t>
      </w:r>
      <w:r w:rsidR="009C02BC">
        <w:rPr>
          <w:rFonts w:eastAsia="Calibri" w:cs="Times New Roman"/>
          <w:color w:val="292574"/>
        </w:rPr>
        <w:t xml:space="preserve">des </w:t>
      </w:r>
      <w:r w:rsidRPr="00737BB8">
        <w:rPr>
          <w:rFonts w:eastAsia="Calibri" w:cs="Times New Roman"/>
          <w:color w:val="292574"/>
        </w:rPr>
        <w:t>partenariats scientifiques.</w:t>
      </w:r>
    </w:p>
    <w:p w14:paraId="1520D169" w14:textId="73C0F08B" w:rsidR="008D4CD7" w:rsidRDefault="00EA4501" w:rsidP="00EF39BE">
      <w:pPr>
        <w:pStyle w:val="NormalNoir"/>
        <w:rPr>
          <w:rFonts w:eastAsia="Calibri" w:cs="Times New Roman"/>
          <w:color w:val="292574"/>
        </w:rPr>
      </w:pPr>
      <w:r>
        <w:rPr>
          <w:rFonts w:eastAsia="Calibri" w:cs="Times New Roman"/>
          <w:color w:val="292574"/>
        </w:rPr>
        <w:lastRenderedPageBreak/>
        <w:tab/>
      </w:r>
      <w:r w:rsidR="008D4CD7">
        <w:rPr>
          <w:rFonts w:eastAsia="Calibri" w:cs="Times New Roman"/>
          <w:color w:val="292574"/>
        </w:rPr>
        <w:t xml:space="preserve">Il est important pour le GPM de Guyane de produire des livrables les plus opérationnels possibles, qui répondent également </w:t>
      </w:r>
      <w:r w:rsidR="009C02BC">
        <w:rPr>
          <w:rFonts w:eastAsia="Calibri" w:cs="Times New Roman"/>
          <w:color w:val="292574"/>
        </w:rPr>
        <w:t>aux besoins</w:t>
      </w:r>
      <w:r w:rsidR="008D4CD7">
        <w:rPr>
          <w:rFonts w:eastAsia="Calibri" w:cs="Times New Roman"/>
          <w:color w:val="292574"/>
        </w:rPr>
        <w:t xml:space="preserve"> des différents métiers du GPM.</w:t>
      </w:r>
    </w:p>
    <w:p w14:paraId="44A8759D" w14:textId="4BD8F8DC" w:rsidR="00977AE0" w:rsidRDefault="00EA4501" w:rsidP="000A26FB">
      <w:pPr>
        <w:spacing w:after="160" w:line="259" w:lineRule="auto"/>
        <w:rPr>
          <w:rFonts w:cs="Arial"/>
        </w:rPr>
      </w:pPr>
      <w:r>
        <w:rPr>
          <w:color w:val="292574"/>
        </w:rPr>
        <w:tab/>
      </w:r>
      <w:r w:rsidR="003746A3">
        <w:rPr>
          <w:color w:val="292574"/>
        </w:rPr>
        <w:t>Les objectifs de la présente étude sont donc de réaliser une étude de vulnérabilité et de risque, de sélectionner des mesures d’adaptation au changement climatique pertinentes pour le GPMG et d’accompagner le GPMG dans la rédaction de sa stratégie de résilience au changement climatique à l’horizon 2050 voire 2100.</w:t>
      </w:r>
      <w:r w:rsidR="00075CCA">
        <w:rPr>
          <w:rFonts w:cs="Arial"/>
        </w:rPr>
        <w:tab/>
      </w:r>
    </w:p>
    <w:p w14:paraId="32EE6B08" w14:textId="20DD63EB" w:rsidR="008D4CD7" w:rsidRDefault="008D4CD7" w:rsidP="00EF39BE">
      <w:pPr>
        <w:pStyle w:val="Titre2"/>
      </w:pPr>
      <w:bookmarkStart w:id="2" w:name="_Toc235518161"/>
      <w:r>
        <w:t xml:space="preserve">Objectifs </w:t>
      </w:r>
      <w:r w:rsidR="003746A3">
        <w:t>attendus par le GPMG</w:t>
      </w:r>
      <w:bookmarkEnd w:id="2"/>
    </w:p>
    <w:p w14:paraId="778B7D9E" w14:textId="45125F35" w:rsidR="00867D5D" w:rsidRDefault="009F64CB" w:rsidP="00867D5D">
      <w:r>
        <w:tab/>
      </w:r>
      <w:r w:rsidR="00867D5D">
        <w:t>Les ateliers de concertation ont permis d’identifier les motivations et objectifs prioritaires du Grand Port Maritime de Guyane (GPMG) dans le cadre de sa stratégie de résilience au changement climatique.</w:t>
      </w:r>
      <w:r>
        <w:t xml:space="preserve"> </w:t>
      </w:r>
      <w:r w:rsidR="00867D5D">
        <w:t>Deux motivations structurantes ont été retenues :</w:t>
      </w:r>
    </w:p>
    <w:p w14:paraId="6CDB51E9" w14:textId="77777777" w:rsidR="00B1273F" w:rsidRDefault="00B1273F" w:rsidP="00867D5D"/>
    <w:p w14:paraId="3D5F0465" w14:textId="77777777" w:rsidR="00867D5D" w:rsidRDefault="00867D5D" w:rsidP="00E45AE5">
      <w:pPr>
        <w:pStyle w:val="Paragraphedeliste"/>
        <w:numPr>
          <w:ilvl w:val="0"/>
          <w:numId w:val="44"/>
        </w:numPr>
      </w:pPr>
      <w:r>
        <w:t>Élaborer un Plan de Continuité d’Activité (PCA) global permettant un retour rapide à la normale en cas de crise ;</w:t>
      </w:r>
    </w:p>
    <w:p w14:paraId="0138630C" w14:textId="31636C3B" w:rsidR="00867D5D" w:rsidRDefault="00867D5D" w:rsidP="00E45AE5">
      <w:pPr>
        <w:pStyle w:val="Paragraphedeliste"/>
        <w:numPr>
          <w:ilvl w:val="0"/>
          <w:numId w:val="44"/>
        </w:numPr>
      </w:pPr>
      <w:r>
        <w:t>Disposer d’éléments de projection à l’horizon 2100, notamment pour alimenter les travaux de définition des grandes orientations d’investissement et de développement ainsi que pour le dimensionnement des nouvelles infrastructures portuaires.</w:t>
      </w:r>
    </w:p>
    <w:p w14:paraId="4E3BDB84" w14:textId="77777777" w:rsidR="009F64CB" w:rsidRDefault="009F64CB" w:rsidP="009F64CB">
      <w:pPr>
        <w:pStyle w:val="Paragraphedeliste"/>
      </w:pPr>
    </w:p>
    <w:p w14:paraId="2E80407C" w14:textId="0E054F9B" w:rsidR="008D4CD7" w:rsidRDefault="009F64CB" w:rsidP="00EF39BE">
      <w:r>
        <w:tab/>
      </w:r>
      <w:r w:rsidR="00B1273F">
        <w:t>L’</w:t>
      </w:r>
      <w:r w:rsidR="008D4CD7">
        <w:t>organisation des objectifs</w:t>
      </w:r>
      <w:r w:rsidR="00B1273F">
        <w:t xml:space="preserve"> attendus par le grand port pour l’étude de vulnérabilité</w:t>
      </w:r>
      <w:r w:rsidR="008D4CD7">
        <w:t xml:space="preserve"> se fond</w:t>
      </w:r>
      <w:r w:rsidR="00B1273F">
        <w:t>e</w:t>
      </w:r>
      <w:r w:rsidR="008D4CD7">
        <w:t xml:space="preserve"> sur </w:t>
      </w:r>
      <w:r w:rsidR="00B1273F">
        <w:t xml:space="preserve">les </w:t>
      </w:r>
      <w:r w:rsidR="008D4CD7">
        <w:t>quatre axes</w:t>
      </w:r>
      <w:r w:rsidR="00B1273F">
        <w:t xml:space="preserve"> suivants</w:t>
      </w:r>
      <w:r w:rsidR="00AD48ED">
        <w:t xml:space="preserve">. </w:t>
      </w:r>
      <w:r w:rsidR="008D4CD7">
        <w:t xml:space="preserve">Ces </w:t>
      </w:r>
      <w:r w:rsidR="00B1273F">
        <w:t>objectifs</w:t>
      </w:r>
      <w:r w:rsidR="008D4CD7">
        <w:t xml:space="preserve"> doivent être utilisés par ordre de mérite et peuvent être combinés.</w:t>
      </w:r>
    </w:p>
    <w:p w14:paraId="093692A4" w14:textId="77777777" w:rsidR="008D4CD7" w:rsidRDefault="008D4CD7" w:rsidP="00EF39BE"/>
    <w:tbl>
      <w:tblPr>
        <w:tblStyle w:val="Grilledutableau"/>
        <w:tblW w:w="10916" w:type="dxa"/>
        <w:tblInd w:w="-431" w:type="dxa"/>
        <w:tblLayout w:type="fixed"/>
        <w:tblLook w:val="04A0" w:firstRow="1" w:lastRow="0" w:firstColumn="1" w:lastColumn="0" w:noHBand="0" w:noVBand="1"/>
      </w:tblPr>
      <w:tblGrid>
        <w:gridCol w:w="10916"/>
      </w:tblGrid>
      <w:tr w:rsidR="008D4CD7" w14:paraId="2A96E198" w14:textId="77777777" w:rsidTr="00181074">
        <w:tc>
          <w:tcPr>
            <w:tcW w:w="10916" w:type="dxa"/>
          </w:tcPr>
          <w:p w14:paraId="0DA45CE5" w14:textId="77777777" w:rsidR="008D4CD7" w:rsidRDefault="008D4CD7" w:rsidP="00E45AE5">
            <w:pPr>
              <w:pStyle w:val="Paragraphedeliste"/>
              <w:numPr>
                <w:ilvl w:val="0"/>
                <w:numId w:val="15"/>
              </w:numPr>
              <w:rPr>
                <w:b/>
                <w:bCs/>
              </w:rPr>
            </w:pPr>
            <w:r>
              <w:rPr>
                <w:b/>
                <w:bCs/>
              </w:rPr>
              <w:t>Exploitation et continuité des services</w:t>
            </w:r>
          </w:p>
          <w:p w14:paraId="758C8352" w14:textId="77777777" w:rsidR="008D4CD7" w:rsidRDefault="008D4CD7" w:rsidP="00EF39BE">
            <w:pPr>
              <w:tabs>
                <w:tab w:val="left" w:pos="3700"/>
              </w:tabs>
            </w:pPr>
            <w:r>
              <w:tab/>
            </w:r>
          </w:p>
        </w:tc>
      </w:tr>
      <w:tr w:rsidR="008D4CD7" w14:paraId="6BF79E72" w14:textId="77777777" w:rsidTr="00181074">
        <w:tc>
          <w:tcPr>
            <w:tcW w:w="10916" w:type="dxa"/>
          </w:tcPr>
          <w:p w14:paraId="795940FC" w14:textId="77777777" w:rsidR="008D4CD7" w:rsidRPr="007C6762" w:rsidRDefault="008D4CD7" w:rsidP="00E45AE5">
            <w:pPr>
              <w:pStyle w:val="Paragraphedeliste"/>
              <w:numPr>
                <w:ilvl w:val="0"/>
                <w:numId w:val="22"/>
              </w:numPr>
              <w:rPr>
                <w:b/>
                <w:bCs/>
              </w:rPr>
            </w:pPr>
            <w:r w:rsidRPr="007C6762">
              <w:rPr>
                <w:b/>
                <w:bCs/>
              </w:rPr>
              <w:t>Élaborer un Plan de Continuité d’Activité global pour assurer un retour rapide à la normale en cas de crise</w:t>
            </w:r>
          </w:p>
          <w:p w14:paraId="701EE94C" w14:textId="77777777" w:rsidR="008D4CD7" w:rsidRPr="007C6762" w:rsidRDefault="008D4CD7" w:rsidP="00E45AE5">
            <w:pPr>
              <w:pStyle w:val="Paragraphedeliste"/>
              <w:numPr>
                <w:ilvl w:val="0"/>
                <w:numId w:val="24"/>
              </w:numPr>
              <w:rPr>
                <w:b/>
                <w:bCs/>
              </w:rPr>
            </w:pPr>
            <w:r w:rsidRPr="007C6762">
              <w:rPr>
                <w:b/>
                <w:bCs/>
              </w:rPr>
              <w:t>Garantir l’accessibilité nautique et routière en toute condition climatique avec rupture maximale de 7 jours</w:t>
            </w:r>
          </w:p>
          <w:p w14:paraId="6CE8FC39" w14:textId="77777777" w:rsidR="008D4CD7" w:rsidRPr="007C6762" w:rsidRDefault="008D4CD7" w:rsidP="00E45AE5">
            <w:pPr>
              <w:pStyle w:val="Paragraphedeliste"/>
              <w:numPr>
                <w:ilvl w:val="0"/>
                <w:numId w:val="23"/>
              </w:numPr>
              <w:rPr>
                <w:b/>
                <w:bCs/>
              </w:rPr>
            </w:pPr>
            <w:r w:rsidRPr="007C6762">
              <w:rPr>
                <w:b/>
                <w:bCs/>
              </w:rPr>
              <w:t>Assurer le maintien des connexions, notamment terrestres, avec l’hinterland pour éviter toute rupture d’approvisionnement de plus de 7 jours et pour éviter l’engorgement des zones de stockage</w:t>
            </w:r>
          </w:p>
          <w:p w14:paraId="4120FB09" w14:textId="77777777" w:rsidR="008D4CD7" w:rsidRPr="007C6762" w:rsidRDefault="008D4CD7" w:rsidP="00E45AE5">
            <w:pPr>
              <w:pStyle w:val="Paragraphedeliste"/>
              <w:numPr>
                <w:ilvl w:val="0"/>
                <w:numId w:val="22"/>
              </w:numPr>
              <w:rPr>
                <w:b/>
                <w:bCs/>
              </w:rPr>
            </w:pPr>
            <w:r w:rsidRPr="007C6762">
              <w:rPr>
                <w:b/>
                <w:bCs/>
              </w:rPr>
              <w:t>Assurer la sécurité des usagers </w:t>
            </w:r>
          </w:p>
          <w:p w14:paraId="294B6A81" w14:textId="77777777" w:rsidR="008D4CD7" w:rsidRDefault="008D4CD7" w:rsidP="00E45AE5">
            <w:pPr>
              <w:pStyle w:val="Paragraphedeliste"/>
              <w:numPr>
                <w:ilvl w:val="0"/>
                <w:numId w:val="22"/>
              </w:numPr>
            </w:pPr>
            <w:r>
              <w:t>Maintenir les capacités d’import et d’export de la Guyane et soutenir l’économie locale</w:t>
            </w:r>
          </w:p>
          <w:p w14:paraId="4D418F5C" w14:textId="77777777" w:rsidR="008D4CD7" w:rsidRDefault="008D4CD7" w:rsidP="00E45AE5">
            <w:pPr>
              <w:pStyle w:val="Paragraphedeliste"/>
              <w:numPr>
                <w:ilvl w:val="0"/>
                <w:numId w:val="22"/>
              </w:numPr>
            </w:pPr>
            <w:r>
              <w:t>Préserver le fonctionnement actuel du port à l’horizon 2050</w:t>
            </w:r>
          </w:p>
          <w:p w14:paraId="6725949C" w14:textId="77777777" w:rsidR="008D4CD7" w:rsidRDefault="008D4CD7" w:rsidP="00E45AE5">
            <w:pPr>
              <w:pStyle w:val="Paragraphedeliste"/>
              <w:numPr>
                <w:ilvl w:val="0"/>
                <w:numId w:val="22"/>
              </w:numPr>
            </w:pPr>
            <w:r>
              <w:t>Maintenir la disponibilité et l’efficacité des transports et des communications</w:t>
            </w:r>
          </w:p>
          <w:p w14:paraId="27C31CDC" w14:textId="77777777" w:rsidR="008D4CD7" w:rsidRDefault="008D4CD7" w:rsidP="00E45AE5">
            <w:pPr>
              <w:pStyle w:val="Paragraphedeliste"/>
              <w:numPr>
                <w:ilvl w:val="0"/>
                <w:numId w:val="22"/>
              </w:numPr>
            </w:pPr>
            <w:r>
              <w:t>Anticipation des vagues de chaleur/ saison chaudes (concertations CPA global)</w:t>
            </w:r>
          </w:p>
          <w:p w14:paraId="0336E4E4" w14:textId="77777777" w:rsidR="008D4CD7" w:rsidRDefault="008D4CD7" w:rsidP="00EF39BE"/>
        </w:tc>
      </w:tr>
      <w:tr w:rsidR="008D4CD7" w14:paraId="2D0E19B0" w14:textId="77777777" w:rsidTr="00181074">
        <w:trPr>
          <w:trHeight w:val="372"/>
        </w:trPr>
        <w:tc>
          <w:tcPr>
            <w:tcW w:w="10916" w:type="dxa"/>
          </w:tcPr>
          <w:p w14:paraId="15866E49" w14:textId="77777777" w:rsidR="008D4CD7" w:rsidRDefault="008D4CD7" w:rsidP="00EF39BE">
            <w:pPr>
              <w:ind w:left="709"/>
              <w:rPr>
                <w:b/>
                <w:bCs/>
              </w:rPr>
            </w:pPr>
            <w:r>
              <w:rPr>
                <w:b/>
                <w:bCs/>
              </w:rPr>
              <w:t>2) Planification territoriale et relations avec les acteurs territoriaux</w:t>
            </w:r>
          </w:p>
          <w:p w14:paraId="61419C17" w14:textId="77777777" w:rsidR="008D4CD7" w:rsidRDefault="008D4CD7" w:rsidP="00EF39BE"/>
        </w:tc>
      </w:tr>
      <w:tr w:rsidR="008D4CD7" w14:paraId="520FE544" w14:textId="77777777" w:rsidTr="00181074">
        <w:tc>
          <w:tcPr>
            <w:tcW w:w="10916" w:type="dxa"/>
          </w:tcPr>
          <w:p w14:paraId="3A4A3B42" w14:textId="77777777" w:rsidR="008D4CD7" w:rsidRPr="007C6762" w:rsidRDefault="008D4CD7" w:rsidP="00E45AE5">
            <w:pPr>
              <w:pStyle w:val="Paragraphedeliste"/>
              <w:numPr>
                <w:ilvl w:val="0"/>
                <w:numId w:val="21"/>
              </w:numPr>
              <w:rPr>
                <w:b/>
                <w:bCs/>
              </w:rPr>
            </w:pPr>
            <w:r w:rsidRPr="007C6762">
              <w:rPr>
                <w:b/>
                <w:bCs/>
              </w:rPr>
              <w:t>Maintenir les capacités d’import de la Guyane et soutenir l’économie locale</w:t>
            </w:r>
          </w:p>
          <w:p w14:paraId="4CD02F36" w14:textId="77777777" w:rsidR="008D4CD7" w:rsidRPr="007C6762" w:rsidRDefault="008D4CD7" w:rsidP="00E45AE5">
            <w:pPr>
              <w:pStyle w:val="Paragraphedeliste"/>
              <w:numPr>
                <w:ilvl w:val="0"/>
                <w:numId w:val="21"/>
              </w:numPr>
              <w:rPr>
                <w:b/>
                <w:bCs/>
              </w:rPr>
            </w:pPr>
            <w:r w:rsidRPr="007C6762">
              <w:rPr>
                <w:b/>
                <w:bCs/>
              </w:rPr>
              <w:t>Assurer le maintien des connexions avec l’hinterland pour éviter toute rupture d’approvisionnement</w:t>
            </w:r>
          </w:p>
          <w:p w14:paraId="69B01B75" w14:textId="77777777" w:rsidR="008D4CD7" w:rsidRDefault="008D4CD7" w:rsidP="00E45AE5">
            <w:pPr>
              <w:pStyle w:val="Paragraphedeliste"/>
              <w:numPr>
                <w:ilvl w:val="0"/>
                <w:numId w:val="21"/>
              </w:numPr>
            </w:pPr>
            <w:r>
              <w:t>Communiquer sur le changement climatique et les adaptations prévues</w:t>
            </w:r>
          </w:p>
          <w:p w14:paraId="241A467A" w14:textId="77777777" w:rsidR="008D4CD7" w:rsidRDefault="008D4CD7" w:rsidP="00E45AE5">
            <w:pPr>
              <w:pStyle w:val="Paragraphedeliste"/>
              <w:numPr>
                <w:ilvl w:val="0"/>
                <w:numId w:val="21"/>
              </w:numPr>
            </w:pPr>
            <w:r>
              <w:t>Anticiper une relocalisation stratégique des activités en cas de nécessité et définir une stratégie de retrait (POMU)</w:t>
            </w:r>
          </w:p>
          <w:p w14:paraId="1F0E6A2C" w14:textId="77777777" w:rsidR="008D4CD7" w:rsidRDefault="008D4CD7" w:rsidP="00E45AE5">
            <w:pPr>
              <w:pStyle w:val="Paragraphedeliste"/>
              <w:numPr>
                <w:ilvl w:val="0"/>
                <w:numId w:val="21"/>
              </w:numPr>
            </w:pPr>
            <w:r>
              <w:t>Maintenir de bonnes relations avec les usagers du port et autres acteurs (concertation CPHS)</w:t>
            </w:r>
          </w:p>
          <w:p w14:paraId="070BE823" w14:textId="77777777" w:rsidR="008D4CD7" w:rsidRDefault="008D4CD7" w:rsidP="00E45AE5">
            <w:pPr>
              <w:pStyle w:val="Paragraphedeliste"/>
              <w:numPr>
                <w:ilvl w:val="0"/>
                <w:numId w:val="21"/>
              </w:numPr>
            </w:pPr>
            <w:r>
              <w:t>Être acteur local de l’adaptation au changement climatique</w:t>
            </w:r>
          </w:p>
          <w:p w14:paraId="6ED54B7F" w14:textId="77777777" w:rsidR="008D4CD7" w:rsidRDefault="008D4CD7" w:rsidP="00E45AE5">
            <w:pPr>
              <w:pStyle w:val="Paragraphedeliste"/>
              <w:numPr>
                <w:ilvl w:val="0"/>
                <w:numId w:val="21"/>
              </w:numPr>
            </w:pPr>
            <w:r>
              <w:t>Préserver et renforcer la coopération avec les autres ports de la zone Antilles-Guyane et du plateau des Guyanes</w:t>
            </w:r>
          </w:p>
          <w:p w14:paraId="07BE3D9A" w14:textId="77777777" w:rsidR="008D4CD7" w:rsidRDefault="008D4CD7" w:rsidP="00E45AE5">
            <w:pPr>
              <w:pStyle w:val="Paragraphedeliste"/>
              <w:numPr>
                <w:ilvl w:val="0"/>
                <w:numId w:val="21"/>
              </w:numPr>
            </w:pPr>
            <w:r>
              <w:t xml:space="preserve">Maintenir les capacités d’export de la Guyane et soutenir l’économie locale </w:t>
            </w:r>
          </w:p>
          <w:p w14:paraId="284DF72B" w14:textId="77777777" w:rsidR="008D4CD7" w:rsidRDefault="008D4CD7" w:rsidP="00EF39BE"/>
        </w:tc>
      </w:tr>
      <w:tr w:rsidR="008D4CD7" w14:paraId="1BBCC215" w14:textId="77777777" w:rsidTr="00181074">
        <w:tc>
          <w:tcPr>
            <w:tcW w:w="10916" w:type="dxa"/>
          </w:tcPr>
          <w:p w14:paraId="46DB47D5" w14:textId="77777777" w:rsidR="008D4CD7" w:rsidRDefault="008D4CD7" w:rsidP="00EF39BE">
            <w:pPr>
              <w:ind w:left="709"/>
              <w:rPr>
                <w:b/>
                <w:bCs/>
              </w:rPr>
            </w:pPr>
            <w:r>
              <w:rPr>
                <w:b/>
                <w:bCs/>
              </w:rPr>
              <w:t>3) Surveillance et gestion du patrimoine et des actifs</w:t>
            </w:r>
          </w:p>
          <w:p w14:paraId="655F7FF5" w14:textId="77777777" w:rsidR="008D4CD7" w:rsidRDefault="008D4CD7" w:rsidP="00EF39BE"/>
        </w:tc>
      </w:tr>
      <w:tr w:rsidR="008D4CD7" w14:paraId="441EE227" w14:textId="77777777" w:rsidTr="00181074">
        <w:tc>
          <w:tcPr>
            <w:tcW w:w="10916" w:type="dxa"/>
          </w:tcPr>
          <w:p w14:paraId="336E5E92" w14:textId="77777777" w:rsidR="008D4CD7" w:rsidRDefault="008D4CD7" w:rsidP="00E45AE5">
            <w:pPr>
              <w:pStyle w:val="Paragraphedeliste"/>
              <w:numPr>
                <w:ilvl w:val="0"/>
                <w:numId w:val="13"/>
              </w:numPr>
            </w:pPr>
            <w:r>
              <w:t>Protéger le port contre les impacts de la foudre et renforcer son imperméabilité aux aléas électriques (systèmes informatiques et réseaux d’énergie)</w:t>
            </w:r>
          </w:p>
          <w:p w14:paraId="2C2ED0B2" w14:textId="77777777" w:rsidR="008D4CD7" w:rsidRDefault="008D4CD7" w:rsidP="00E45AE5">
            <w:pPr>
              <w:pStyle w:val="Paragraphedeliste"/>
              <w:numPr>
                <w:ilvl w:val="0"/>
                <w:numId w:val="13"/>
              </w:numPr>
            </w:pPr>
            <w:r>
              <w:t>Développer l’instrumentation pour participer à la connaissance de l’évolution climatique et disposer d’informations en temps réel sur les conditions d’exploitation (houle, salinité, hauteur d’eau, densité et courants)</w:t>
            </w:r>
          </w:p>
          <w:p w14:paraId="1B090559" w14:textId="1BA3EF38" w:rsidR="009F64CB" w:rsidRDefault="009F64CB" w:rsidP="009F64CB">
            <w:pPr>
              <w:pStyle w:val="Paragraphedeliste"/>
            </w:pPr>
          </w:p>
        </w:tc>
      </w:tr>
      <w:tr w:rsidR="008D4CD7" w14:paraId="158CED98" w14:textId="77777777" w:rsidTr="00181074">
        <w:tc>
          <w:tcPr>
            <w:tcW w:w="10916" w:type="dxa"/>
          </w:tcPr>
          <w:p w14:paraId="6FD6BC32" w14:textId="77777777" w:rsidR="008D4CD7" w:rsidRDefault="008D4CD7" w:rsidP="00EF39BE">
            <w:pPr>
              <w:ind w:left="709"/>
              <w:rPr>
                <w:b/>
                <w:bCs/>
              </w:rPr>
            </w:pPr>
            <w:r>
              <w:rPr>
                <w:b/>
                <w:bCs/>
              </w:rPr>
              <w:t>4) Programmation et adaptation des investissements</w:t>
            </w:r>
          </w:p>
          <w:p w14:paraId="1BFEB5B0" w14:textId="77777777" w:rsidR="008D4CD7" w:rsidRDefault="008D4CD7" w:rsidP="00EF39BE"/>
        </w:tc>
      </w:tr>
      <w:tr w:rsidR="008D4CD7" w14:paraId="6C8B5C2B" w14:textId="77777777" w:rsidTr="00181074">
        <w:tc>
          <w:tcPr>
            <w:tcW w:w="10916" w:type="dxa"/>
          </w:tcPr>
          <w:p w14:paraId="5A838CBA" w14:textId="77777777" w:rsidR="008D4CD7" w:rsidRPr="007C6762" w:rsidRDefault="008D4CD7" w:rsidP="00E45AE5">
            <w:pPr>
              <w:pStyle w:val="Paragraphedeliste"/>
              <w:numPr>
                <w:ilvl w:val="0"/>
                <w:numId w:val="14"/>
              </w:numPr>
              <w:rPr>
                <w:b/>
                <w:bCs/>
              </w:rPr>
            </w:pPr>
            <w:r w:rsidRPr="007C6762">
              <w:rPr>
                <w:b/>
                <w:bCs/>
              </w:rPr>
              <w:t>Investir dans des projets en amont liés au CC (décarbonation, mettre en cohérence le plan de résilience avec le plan de développement)</w:t>
            </w:r>
          </w:p>
          <w:p w14:paraId="03BA915E" w14:textId="77777777" w:rsidR="008D4CD7" w:rsidRDefault="008D4CD7" w:rsidP="00E45AE5">
            <w:pPr>
              <w:pStyle w:val="Paragraphedeliste"/>
              <w:numPr>
                <w:ilvl w:val="0"/>
                <w:numId w:val="14"/>
              </w:numPr>
            </w:pPr>
            <w:r>
              <w:t xml:space="preserve">Développer de nouvelles activités complémentaires </w:t>
            </w:r>
          </w:p>
          <w:p w14:paraId="276775CD" w14:textId="77777777" w:rsidR="008D4CD7" w:rsidRDefault="008D4CD7" w:rsidP="00E45AE5">
            <w:pPr>
              <w:pStyle w:val="Paragraphedeliste"/>
              <w:numPr>
                <w:ilvl w:val="0"/>
                <w:numId w:val="14"/>
              </w:numPr>
            </w:pPr>
            <w:r>
              <w:t xml:space="preserve">Développer l’activité « marchandises » (vrac, container, énergie…) </w:t>
            </w:r>
          </w:p>
          <w:p w14:paraId="471F0B38" w14:textId="77777777" w:rsidR="008D4CD7" w:rsidRDefault="008D4CD7" w:rsidP="00E45AE5">
            <w:pPr>
              <w:pStyle w:val="Paragraphedeliste"/>
              <w:numPr>
                <w:ilvl w:val="0"/>
                <w:numId w:val="14"/>
              </w:numPr>
            </w:pPr>
            <w:r>
              <w:t>Minimiser les risques de dépenses imprévues en anticipant le changement climatique</w:t>
            </w:r>
          </w:p>
          <w:p w14:paraId="0CFE43B4" w14:textId="77777777" w:rsidR="008D4CD7" w:rsidRDefault="008D4CD7" w:rsidP="00E45AE5">
            <w:pPr>
              <w:pStyle w:val="Paragraphedeliste"/>
              <w:numPr>
                <w:ilvl w:val="0"/>
                <w:numId w:val="14"/>
              </w:numPr>
            </w:pPr>
            <w:r>
              <w:t>Intégrer pleinement le port dans une trajectoire de développement durable avec le plan de résilience</w:t>
            </w:r>
          </w:p>
          <w:p w14:paraId="11781A7F" w14:textId="77777777" w:rsidR="008D4CD7" w:rsidRDefault="008D4CD7" w:rsidP="00E45AE5">
            <w:pPr>
              <w:pStyle w:val="Paragraphedeliste"/>
              <w:numPr>
                <w:ilvl w:val="0"/>
                <w:numId w:val="14"/>
              </w:numPr>
            </w:pPr>
            <w:r>
              <w:lastRenderedPageBreak/>
              <w:t>Préserver la rentabilité du GPMG</w:t>
            </w:r>
          </w:p>
          <w:p w14:paraId="479D4644" w14:textId="77777777" w:rsidR="008D4CD7" w:rsidRDefault="008D4CD7" w:rsidP="00E45AE5">
            <w:pPr>
              <w:pStyle w:val="Paragraphedeliste"/>
              <w:numPr>
                <w:ilvl w:val="0"/>
                <w:numId w:val="14"/>
              </w:numPr>
            </w:pPr>
            <w:r>
              <w:t>Mettre en cohérence le plan de résilience avec le projet stratégique</w:t>
            </w:r>
          </w:p>
          <w:p w14:paraId="779D6728" w14:textId="77777777" w:rsidR="008D4CD7" w:rsidRDefault="008D4CD7" w:rsidP="00E45AE5">
            <w:pPr>
              <w:pStyle w:val="Paragraphedeliste"/>
              <w:numPr>
                <w:ilvl w:val="0"/>
                <w:numId w:val="14"/>
              </w:numPr>
            </w:pPr>
            <w:r>
              <w:rPr>
                <w:highlight w:val="white"/>
              </w:rPr>
              <w:t> Envisager les possibilités de relocalisation des activités du port en mer, pour s’affranchir de l’impact du CC sur les infrastructures terrestres</w:t>
            </w:r>
            <w:r>
              <w:t xml:space="preserve"> </w:t>
            </w:r>
          </w:p>
        </w:tc>
      </w:tr>
    </w:tbl>
    <w:p w14:paraId="79BBA720" w14:textId="77777777" w:rsidR="00734424" w:rsidRDefault="00734424" w:rsidP="00EF39BE"/>
    <w:p w14:paraId="13DB3F18" w14:textId="1F160C55" w:rsidR="008D4CD7" w:rsidRDefault="00AD48ED" w:rsidP="00AD48ED">
      <w:r>
        <w:tab/>
      </w:r>
      <w:r>
        <w:tab/>
      </w:r>
      <w:r w:rsidR="007C6762">
        <w:t>Le GPMG souhaite prioriser</w:t>
      </w:r>
      <w:r>
        <w:t xml:space="preserve"> les six objectifs structurants suivants, les deux premiers étant considérés comme les plus importants :</w:t>
      </w:r>
    </w:p>
    <w:p w14:paraId="2BE3E47C" w14:textId="77777777" w:rsidR="007C6762" w:rsidRDefault="007C6762" w:rsidP="00AD48ED"/>
    <w:p w14:paraId="5D102B39" w14:textId="77777777" w:rsidR="008D4CD7" w:rsidRDefault="008D4CD7" w:rsidP="00E45AE5">
      <w:pPr>
        <w:pStyle w:val="Paragraphedeliste"/>
        <w:numPr>
          <w:ilvl w:val="0"/>
          <w:numId w:val="16"/>
        </w:numPr>
      </w:pPr>
      <w:r>
        <w:rPr>
          <w:color w:val="000000" w:themeColor="text1"/>
        </w:rPr>
        <w:t>Élaborer un Plan de Continuité d’Activité global pour assurer un retour rapide à la normale en cas de crise</w:t>
      </w:r>
      <w:r>
        <w:t> </w:t>
      </w:r>
    </w:p>
    <w:p w14:paraId="74BAC6E0" w14:textId="77777777" w:rsidR="00C46AEA" w:rsidRPr="00C46AEA" w:rsidRDefault="00C46AEA" w:rsidP="00C46AEA">
      <w:pPr>
        <w:rPr>
          <w:sz w:val="20"/>
          <w:szCs w:val="20"/>
        </w:rPr>
      </w:pPr>
      <w:r w:rsidRPr="00C46AEA">
        <w:rPr>
          <w:sz w:val="20"/>
          <w:szCs w:val="20"/>
        </w:rPr>
        <w:t>Le prestataire proposera une structure type de PCA global intégrant les scénarios climatiques, avec des fiches action concrètes sur les points critiques identifiés : accès nautique (dragage, remorqueurs), énergie, systèmes d'information, et interfaces CSG.</w:t>
      </w:r>
    </w:p>
    <w:p w14:paraId="3C6C8845" w14:textId="49B0BBFC" w:rsidR="00C46AEA" w:rsidRPr="00C46AEA" w:rsidRDefault="00C46AEA" w:rsidP="00C46AEA">
      <w:pPr>
        <w:rPr>
          <w:sz w:val="20"/>
          <w:szCs w:val="20"/>
        </w:rPr>
      </w:pPr>
      <w:r w:rsidRPr="00C46AEA">
        <w:rPr>
          <w:sz w:val="20"/>
          <w:szCs w:val="20"/>
        </w:rPr>
        <w:t>Il existe aujourd'hui un PCA sûreté ainsi qu'un plan mis en place pendant le Covid, mais pas de PCA global dédié à l'adaptation climatique. L'objectif attendu n'est pas seulement de réagir à une crise, mais de l'anticiper au maximum grâce à des actions proactives : le PCA global doit être conçu comme un outil au service de l'adaptation au changement climatique.</w:t>
      </w:r>
    </w:p>
    <w:p w14:paraId="505709B1" w14:textId="7A98A6F8" w:rsidR="008D4CD7" w:rsidRPr="00FE5143" w:rsidRDefault="00C46AEA" w:rsidP="00C46AEA">
      <w:pPr>
        <w:rPr>
          <w:sz w:val="20"/>
          <w:szCs w:val="20"/>
        </w:rPr>
      </w:pPr>
      <w:r w:rsidRPr="00C46AEA">
        <w:rPr>
          <w:sz w:val="20"/>
          <w:szCs w:val="20"/>
        </w:rPr>
        <w:t>L'efficacité des actions pourra être mesurée par des indicateurs tels que les temps d'attente et les taux d'indisponibilité</w:t>
      </w:r>
      <w:proofErr w:type="gramStart"/>
      <w:r>
        <w:rPr>
          <w:sz w:val="20"/>
          <w:szCs w:val="20"/>
        </w:rPr>
        <w:t>.</w:t>
      </w:r>
      <w:r w:rsidRPr="00C46AEA">
        <w:rPr>
          <w:sz w:val="20"/>
          <w:szCs w:val="20"/>
        </w:rPr>
        <w:t xml:space="preserve"> </w:t>
      </w:r>
      <w:r w:rsidR="008D4CD7" w:rsidRPr="00FE5143">
        <w:rPr>
          <w:sz w:val="20"/>
          <w:szCs w:val="20"/>
        </w:rPr>
        <w:t>.</w:t>
      </w:r>
      <w:proofErr w:type="gramEnd"/>
    </w:p>
    <w:p w14:paraId="361B98ED" w14:textId="77777777" w:rsidR="008D4CD7" w:rsidRDefault="008D4CD7" w:rsidP="00EF39BE"/>
    <w:p w14:paraId="5BC69CD4" w14:textId="77777777" w:rsidR="008D4CD7" w:rsidRDefault="008D4CD7" w:rsidP="00E45AE5">
      <w:pPr>
        <w:pStyle w:val="Paragraphedeliste"/>
        <w:numPr>
          <w:ilvl w:val="0"/>
          <w:numId w:val="17"/>
        </w:numPr>
        <w:rPr>
          <w:color w:val="000000" w:themeColor="text1"/>
        </w:rPr>
      </w:pPr>
      <w:r>
        <w:rPr>
          <w:color w:val="000000" w:themeColor="text1"/>
        </w:rPr>
        <w:t>Investir dans des projets en amont liés au CC (décarbonation, mettre en cohérence le plan de résilience avec le plan de développement)</w:t>
      </w:r>
    </w:p>
    <w:p w14:paraId="6D7B5DF5" w14:textId="77777777" w:rsidR="008D4CD7" w:rsidRPr="00FE5143" w:rsidRDefault="008D4CD7" w:rsidP="00EF39BE">
      <w:pPr>
        <w:rPr>
          <w:sz w:val="20"/>
          <w:szCs w:val="20"/>
        </w:rPr>
      </w:pPr>
      <w:r w:rsidRPr="00FE5143">
        <w:rPr>
          <w:sz w:val="20"/>
          <w:szCs w:val="20"/>
        </w:rPr>
        <w:t>L’objectif d’investir dans des projets en amont liés au changement climatique concerne particulièrement le bon choix des hypothèses pour les actifs long terme à construire. Des critères tels que le dépassement d’une température seuil (35°C) ou d’intensité de pluies, de vents ou des coefficients de marée importants pourraient être exploités.</w:t>
      </w:r>
    </w:p>
    <w:p w14:paraId="30D08441" w14:textId="77777777" w:rsidR="008D4CD7" w:rsidRDefault="008D4CD7" w:rsidP="00EF39BE">
      <w:pPr>
        <w:rPr>
          <w:color w:val="000000" w:themeColor="text1"/>
        </w:rPr>
      </w:pPr>
    </w:p>
    <w:p w14:paraId="4A6E7C04" w14:textId="77777777" w:rsidR="008D4CD7" w:rsidRDefault="008D4CD7" w:rsidP="00E45AE5">
      <w:pPr>
        <w:pStyle w:val="Paragraphedeliste"/>
        <w:numPr>
          <w:ilvl w:val="0"/>
          <w:numId w:val="17"/>
        </w:numPr>
        <w:rPr>
          <w:color w:val="000000" w:themeColor="text1"/>
        </w:rPr>
      </w:pPr>
      <w:r>
        <w:rPr>
          <w:color w:val="000000" w:themeColor="text1"/>
        </w:rPr>
        <w:t>Maintenir les capacités d’import de la Guyane et soutenir l’économie locale</w:t>
      </w:r>
    </w:p>
    <w:p w14:paraId="0B988D75" w14:textId="1C2C1F92" w:rsidR="008D4CD7" w:rsidRPr="00FE5143" w:rsidRDefault="00734424" w:rsidP="00EF39BE">
      <w:pPr>
        <w:rPr>
          <w:sz w:val="20"/>
          <w:szCs w:val="20"/>
        </w:rPr>
      </w:pPr>
      <w:r w:rsidRPr="00FE5143">
        <w:rPr>
          <w:sz w:val="20"/>
          <w:szCs w:val="20"/>
        </w:rPr>
        <w:t>U</w:t>
      </w:r>
      <w:r w:rsidR="008D4CD7" w:rsidRPr="00FE5143">
        <w:rPr>
          <w:sz w:val="20"/>
          <w:szCs w:val="20"/>
        </w:rPr>
        <w:t>ne des actions envisageables est la proposition d’autres accès, par exemple avec le port sec ou du cabotage. Des indicateurs pourraient être l’engorgement TP ou des seuils de flux.</w:t>
      </w:r>
    </w:p>
    <w:p w14:paraId="76777979" w14:textId="77777777" w:rsidR="008D4CD7" w:rsidRDefault="008D4CD7" w:rsidP="00EF39BE"/>
    <w:p w14:paraId="607C0B18" w14:textId="77777777" w:rsidR="008D4CD7" w:rsidRDefault="008D4CD7" w:rsidP="00E45AE5">
      <w:pPr>
        <w:pStyle w:val="Paragraphedeliste"/>
        <w:numPr>
          <w:ilvl w:val="0"/>
          <w:numId w:val="18"/>
        </w:numPr>
        <w:rPr>
          <w:color w:val="000000" w:themeColor="text1"/>
        </w:rPr>
      </w:pPr>
      <w:r>
        <w:rPr>
          <w:color w:val="000000" w:themeColor="text1"/>
        </w:rPr>
        <w:t>Assurer la sécurité des usagers </w:t>
      </w:r>
    </w:p>
    <w:p w14:paraId="11C2868A" w14:textId="77777777" w:rsidR="008D4CD7" w:rsidRPr="00FE5143" w:rsidRDefault="008D4CD7" w:rsidP="00EF39BE">
      <w:pPr>
        <w:rPr>
          <w:sz w:val="20"/>
          <w:szCs w:val="20"/>
        </w:rPr>
      </w:pPr>
      <w:r w:rsidRPr="00FE5143">
        <w:rPr>
          <w:sz w:val="20"/>
          <w:szCs w:val="20"/>
        </w:rPr>
        <w:t>Assurer la sécurité des usagers peut à la fois concerner l’organisation du temps de travail selon les températures mais aussi la sécurité générale pour la circulation et la manutention, par exemple avec une visibilité limitée.</w:t>
      </w:r>
    </w:p>
    <w:p w14:paraId="6EB02868" w14:textId="77777777" w:rsidR="008D4CD7" w:rsidRDefault="008D4CD7" w:rsidP="00EF39BE"/>
    <w:p w14:paraId="770B1A89" w14:textId="77777777" w:rsidR="008D4CD7" w:rsidRDefault="008D4CD7" w:rsidP="00E45AE5">
      <w:pPr>
        <w:pStyle w:val="Paragraphedeliste"/>
        <w:numPr>
          <w:ilvl w:val="0"/>
          <w:numId w:val="19"/>
        </w:numPr>
        <w:rPr>
          <w:color w:val="000000" w:themeColor="text1"/>
        </w:rPr>
      </w:pPr>
      <w:r>
        <w:rPr>
          <w:color w:val="000000" w:themeColor="text1"/>
        </w:rPr>
        <w:t>Assurer le maintien des connexions avec l’hinterland pour éviter toute rupture d’approvisionnement de plus de 7 jours</w:t>
      </w:r>
    </w:p>
    <w:p w14:paraId="0005E43F" w14:textId="32D21A25" w:rsidR="008D4CD7" w:rsidRPr="00FE5143" w:rsidRDefault="008D4CD7" w:rsidP="00EF39BE">
      <w:pPr>
        <w:rPr>
          <w:sz w:val="20"/>
          <w:szCs w:val="20"/>
        </w:rPr>
      </w:pPr>
      <w:r w:rsidRPr="00FE5143">
        <w:rPr>
          <w:sz w:val="20"/>
          <w:szCs w:val="20"/>
        </w:rPr>
        <w:t>Le</w:t>
      </w:r>
      <w:r w:rsidR="00DA60BA" w:rsidRPr="00FE5143">
        <w:rPr>
          <w:sz w:val="20"/>
          <w:szCs w:val="20"/>
        </w:rPr>
        <w:t xml:space="preserve"> seuil de</w:t>
      </w:r>
      <w:r w:rsidRPr="00FE5143">
        <w:rPr>
          <w:sz w:val="20"/>
          <w:szCs w:val="20"/>
        </w:rPr>
        <w:t xml:space="preserve"> 7 jours traduisent la capacité de stockage tampon maximale du port avant saturation et est aussi liée à l’accueil des navires. Cependant, si la marchandise reste bloquée 7 jours sur le port, elle présentera de forts risques de ne plus être propre à la consommation. C’est pourquoi l’objectif « d’assurer le maintien des connexions avec l’hinterland pour éviter toute rupture d’approvisionnement » se retrouve dans deux axes.</w:t>
      </w:r>
    </w:p>
    <w:p w14:paraId="7D11FCB4" w14:textId="77777777" w:rsidR="008D4CD7" w:rsidRDefault="008D4CD7" w:rsidP="00EF39BE"/>
    <w:p w14:paraId="361891F5" w14:textId="77777777" w:rsidR="008D4CD7" w:rsidRDefault="008D4CD7" w:rsidP="00E45AE5">
      <w:pPr>
        <w:pStyle w:val="Paragraphedeliste"/>
        <w:numPr>
          <w:ilvl w:val="0"/>
          <w:numId w:val="20"/>
        </w:numPr>
        <w:rPr>
          <w:color w:val="000000" w:themeColor="text1"/>
        </w:rPr>
      </w:pPr>
      <w:r>
        <w:rPr>
          <w:color w:val="000000" w:themeColor="text1"/>
        </w:rPr>
        <w:t>Garantir l’accessibilité nautique et routière en toute condition climatique avec rupture maximale de 7 jours</w:t>
      </w:r>
    </w:p>
    <w:p w14:paraId="67A4427D" w14:textId="1A6C1D8B" w:rsidR="008D4CD7" w:rsidRPr="00FE5143" w:rsidRDefault="008D4CD7" w:rsidP="00EF39BE">
      <w:pPr>
        <w:rPr>
          <w:sz w:val="20"/>
          <w:szCs w:val="20"/>
        </w:rPr>
      </w:pPr>
      <w:r w:rsidRPr="00FE5143">
        <w:rPr>
          <w:sz w:val="20"/>
          <w:szCs w:val="20"/>
        </w:rPr>
        <w:t>L’objectif d’accessibilité nautique et routière a pour caractère particulier qu’il dépend d’acteurs extérieurs au Grand Port Maritime</w:t>
      </w:r>
      <w:r w:rsidR="00734424" w:rsidRPr="00FE5143">
        <w:rPr>
          <w:sz w:val="20"/>
          <w:szCs w:val="20"/>
        </w:rPr>
        <w:t xml:space="preserve"> et demande donc de les intégrer à la réflexion</w:t>
      </w:r>
      <w:r w:rsidRPr="00FE5143">
        <w:rPr>
          <w:sz w:val="20"/>
          <w:szCs w:val="20"/>
        </w:rPr>
        <w:t xml:space="preserve">. </w:t>
      </w:r>
    </w:p>
    <w:p w14:paraId="23979120" w14:textId="77777777" w:rsidR="008D4CD7" w:rsidRDefault="008D4CD7" w:rsidP="00EF39BE"/>
    <w:p w14:paraId="224AD256" w14:textId="77777777" w:rsidR="00FE5143" w:rsidRDefault="0070390C" w:rsidP="00284874">
      <w:r>
        <w:tab/>
      </w:r>
    </w:p>
    <w:p w14:paraId="17FC5EF5" w14:textId="70E4B1D9" w:rsidR="00FE5143" w:rsidRDefault="00FE5143" w:rsidP="00284874">
      <w:r>
        <w:tab/>
      </w:r>
      <w:r w:rsidRPr="00FE5143">
        <w:t xml:space="preserve">Par ailleurs, conformément à la demande exprimée par le Cerema dans son offre d’AMO et dans le cadre de la cohérence avec le Projet Stratégique 2024-2028 du GPMG (notamment le chapitre 6.5), le prestataire devra systématiquement identifier, qualifier et valoriser les synergies et </w:t>
      </w:r>
      <w:proofErr w:type="spellStart"/>
      <w:r w:rsidRPr="00FE5143">
        <w:t>co</w:t>
      </w:r>
      <w:proofErr w:type="spellEnd"/>
      <w:r w:rsidRPr="00FE5143">
        <w:t>-bénéfices entre les mesures d’adaptation au changement climatique et les actions d’atténuation/décarbonation. Cette articulation sera traitée comme un critère explicite d’analyse multicritère dans la Phase 4. Le prestataire veillera également à identifier les éventuels antagonismes ou arbitrages nécessaires.</w:t>
      </w:r>
    </w:p>
    <w:p w14:paraId="1087D2A3" w14:textId="77777777" w:rsidR="00FE5143" w:rsidRDefault="00FE5143" w:rsidP="00284874"/>
    <w:p w14:paraId="6DA0ADD0" w14:textId="3801AE68" w:rsidR="00284874" w:rsidRDefault="00FE5143" w:rsidP="00284874">
      <w:r>
        <w:tab/>
      </w:r>
      <w:r w:rsidR="008D4CD7">
        <w:t xml:space="preserve">Enfin, le grand port a commencé à envisager une relocalisation stratégique à l’échelle 2100 avec l’étude exploratoire sur une plateforme offshore multi-activités (POMU). Si cette stratégie est vraiment </w:t>
      </w:r>
      <w:r w:rsidR="00127AEE">
        <w:t>considérée</w:t>
      </w:r>
      <w:r w:rsidR="008D4CD7">
        <w:t>, il faudra revoir le périmètre des aléas qui est différent au large.</w:t>
      </w:r>
      <w:r w:rsidR="00457752">
        <w:rPr>
          <w:rStyle w:val="Appelnotedebasdep"/>
        </w:rPr>
        <w:footnoteReference w:id="3"/>
      </w:r>
    </w:p>
    <w:p w14:paraId="338C9F54" w14:textId="231D898A" w:rsidR="00E65A3E" w:rsidRDefault="00E65A3E" w:rsidP="00284874"/>
    <w:p w14:paraId="04530594" w14:textId="77777777" w:rsidR="00E65A3E" w:rsidRPr="00573E9D" w:rsidRDefault="00E65A3E" w:rsidP="00E65A3E">
      <w:pPr>
        <w:pStyle w:val="Titre2"/>
      </w:pPr>
      <w:bookmarkStart w:id="3" w:name="_Toc222996749"/>
      <w:bookmarkStart w:id="4" w:name="_Toc231552619"/>
      <w:bookmarkStart w:id="5" w:name="_Toc235518162"/>
      <w:r w:rsidRPr="00272557">
        <w:t>Allotissement</w:t>
      </w:r>
      <w:bookmarkEnd w:id="3"/>
      <w:bookmarkEnd w:id="4"/>
      <w:bookmarkEnd w:id="5"/>
    </w:p>
    <w:p w14:paraId="0009A8BB" w14:textId="77777777" w:rsidR="00E65A3E" w:rsidRDefault="00E65A3E" w:rsidP="00E65A3E">
      <w:bookmarkStart w:id="6" w:name="_Toc162278779"/>
      <w:r w:rsidRPr="00573E9D">
        <w:t xml:space="preserve">Le présent </w:t>
      </w:r>
      <w:bookmarkStart w:id="7" w:name="_Hlk220400807"/>
      <w:r w:rsidRPr="00573E9D">
        <w:t>marché n’est pas alloti</w:t>
      </w:r>
      <w:r>
        <w:t>.</w:t>
      </w:r>
    </w:p>
    <w:p w14:paraId="0D9AB6A0" w14:textId="77777777" w:rsidR="00E65A3E" w:rsidRPr="008979C6" w:rsidRDefault="00E65A3E" w:rsidP="00E65A3E">
      <w:pPr>
        <w:pStyle w:val="Titre2"/>
      </w:pPr>
      <w:bookmarkStart w:id="8" w:name="_Toc222996750"/>
      <w:bookmarkStart w:id="9" w:name="_Toc231552620"/>
      <w:bookmarkStart w:id="10" w:name="_Toc235518163"/>
      <w:r w:rsidRPr="00272557">
        <w:t>Objet d</w:t>
      </w:r>
      <w:bookmarkEnd w:id="6"/>
      <w:r w:rsidRPr="00272557">
        <w:t>u march</w:t>
      </w:r>
      <w:r>
        <w:t>é</w:t>
      </w:r>
      <w:bookmarkEnd w:id="8"/>
      <w:bookmarkEnd w:id="9"/>
      <w:bookmarkEnd w:id="10"/>
      <w:r w:rsidRPr="0025161C">
        <w:t> </w:t>
      </w:r>
    </w:p>
    <w:bookmarkEnd w:id="7"/>
    <w:p w14:paraId="717A22D8" w14:textId="21B85C2E" w:rsidR="00977AE0" w:rsidRDefault="00BE6E30" w:rsidP="00EF39BE">
      <w:pPr>
        <w:pStyle w:val="NormalNoir"/>
        <w:rPr>
          <w:rFonts w:cs="Arial"/>
        </w:rPr>
      </w:pPr>
      <w:r w:rsidRPr="00BE6E30">
        <w:rPr>
          <w:rFonts w:cs="Arial"/>
        </w:rPr>
        <w:t>Le présent marché a pour objet la réalisation d’une étude visant à analyser la vulnérabilité des infrastructures portuaires face aux effets du changement climatique</w:t>
      </w:r>
      <w:r>
        <w:rPr>
          <w:rFonts w:cs="Arial"/>
        </w:rPr>
        <w:t>,</w:t>
      </w:r>
      <w:r w:rsidRPr="00BE6E30">
        <w:rPr>
          <w:rFonts w:cs="Arial"/>
        </w:rPr>
        <w:t xml:space="preserve"> à évaluer les risques associés aux aléas climatiques actuels et futurs</w:t>
      </w:r>
      <w:r>
        <w:rPr>
          <w:rFonts w:cs="Arial"/>
        </w:rPr>
        <w:t xml:space="preserve"> et proposer une stratégie de résilience</w:t>
      </w:r>
      <w:r w:rsidRPr="00BE6E30">
        <w:rPr>
          <w:rFonts w:cs="Arial"/>
        </w:rPr>
        <w:t>. Il comprend l’identification des mesures d’adaptation appropriées, la définition d'actions pour garantir la continuité des services portuaires, et l’élaboration d’une stratégie de résilience permettant de renforcer la capacité d’adaptation, l'intégration territoriale et la pérennité des infrastructures portuaires.</w:t>
      </w:r>
    </w:p>
    <w:p w14:paraId="57442552" w14:textId="14DCDAE9" w:rsidR="00867949" w:rsidRDefault="004A276C" w:rsidP="00EF39BE">
      <w:pPr>
        <w:pStyle w:val="Titre2"/>
        <w:rPr>
          <w:rFonts w:cs="Arial"/>
        </w:rPr>
      </w:pPr>
      <w:bookmarkStart w:id="11" w:name="_Toc235518164"/>
      <w:r>
        <w:rPr>
          <w:rFonts w:cs="Arial"/>
        </w:rPr>
        <w:t>Contexte climatique</w:t>
      </w:r>
      <w:bookmarkEnd w:id="11"/>
    </w:p>
    <w:p w14:paraId="51AC8FF5" w14:textId="77777777" w:rsidR="00F16FC3" w:rsidRDefault="00F16FC3" w:rsidP="00EF39BE">
      <w:pPr>
        <w:pStyle w:val="NormalNoir"/>
        <w:rPr>
          <w:rFonts w:eastAsia="Calibri" w:cs="Times New Roman"/>
          <w:color w:val="292574"/>
        </w:rPr>
      </w:pPr>
      <w:r>
        <w:rPr>
          <w:rFonts w:eastAsia="Calibri" w:cs="Times New Roman"/>
          <w:color w:val="292574"/>
        </w:rPr>
        <w:tab/>
      </w:r>
      <w:r w:rsidR="00B613B7" w:rsidRPr="009E1567">
        <w:rPr>
          <w:rFonts w:eastAsia="Calibri" w:cs="Times New Roman"/>
          <w:b/>
          <w:bCs/>
          <w:color w:val="292574"/>
        </w:rPr>
        <w:t>La Trajectoire de Réchauffement de Référence pour l’Adaptation au Changement Climatique</w:t>
      </w:r>
      <w:r w:rsidR="00B613B7" w:rsidRPr="00C15F4E">
        <w:rPr>
          <w:rFonts w:eastAsia="Calibri" w:cs="Times New Roman"/>
          <w:color w:val="292574"/>
        </w:rPr>
        <w:t xml:space="preserve"> (TRACC), désormais inscrite dans le code de l’environnement par le décret du 23 janvier 2026</w:t>
      </w:r>
      <w:r w:rsidR="00B613B7" w:rsidRPr="009E1567">
        <w:rPr>
          <w:rFonts w:eastAsia="Calibri" w:cs="Times New Roman"/>
          <w:b/>
          <w:bCs/>
          <w:color w:val="292574"/>
        </w:rPr>
        <w:t>, constitue le cadre de référence national pour l’adaptation au changement climatique.</w:t>
      </w:r>
      <w:r w:rsidR="00B613B7" w:rsidRPr="00C15F4E">
        <w:rPr>
          <w:rFonts w:eastAsia="Calibri" w:cs="Times New Roman"/>
          <w:color w:val="292574"/>
        </w:rPr>
        <w:t xml:space="preserve"> </w:t>
      </w:r>
    </w:p>
    <w:p w14:paraId="0CF2D203" w14:textId="77777777" w:rsidR="00F16FC3" w:rsidRDefault="00F16FC3" w:rsidP="00EF39BE">
      <w:pPr>
        <w:pStyle w:val="NormalNoir"/>
        <w:rPr>
          <w:rFonts w:eastAsia="Calibri" w:cs="Times New Roman"/>
          <w:color w:val="292574"/>
        </w:rPr>
      </w:pPr>
      <w:r>
        <w:rPr>
          <w:rFonts w:eastAsia="Calibri" w:cs="Times New Roman"/>
          <w:color w:val="292574"/>
        </w:rPr>
        <w:tab/>
      </w:r>
      <w:r w:rsidR="009D0470" w:rsidRPr="00F16FC3">
        <w:rPr>
          <w:rFonts w:eastAsia="Calibri" w:cs="Times New Roman"/>
          <w:color w:val="292574"/>
        </w:rPr>
        <w:t xml:space="preserve">La TRACC est la déclinaison territorialisée française des niveaux de réchauffement global définis par les engagements internationaux des Etats. </w:t>
      </w:r>
      <w:r w:rsidR="00B613B7" w:rsidRPr="00F16FC3">
        <w:rPr>
          <w:rFonts w:eastAsia="Calibri" w:cs="Times New Roman"/>
          <w:color w:val="292574"/>
        </w:rPr>
        <w:t xml:space="preserve">La TRACC anticipe un réchauffement moyen de +4 °C en France hexagonale à horizon 2100 (par rapport à l’ère </w:t>
      </w:r>
      <w:proofErr w:type="spellStart"/>
      <w:r w:rsidR="00B613B7" w:rsidRPr="00F16FC3">
        <w:rPr>
          <w:rFonts w:eastAsia="Calibri" w:cs="Times New Roman"/>
          <w:color w:val="292574"/>
        </w:rPr>
        <w:t>pré-industrielle</w:t>
      </w:r>
      <w:proofErr w:type="spellEnd"/>
      <w:r w:rsidR="00B613B7" w:rsidRPr="00F16FC3">
        <w:rPr>
          <w:rFonts w:eastAsia="Calibri" w:cs="Times New Roman"/>
          <w:color w:val="292574"/>
        </w:rPr>
        <w:t>), correspondant à un scénario tendanciel</w:t>
      </w:r>
      <w:r w:rsidR="00DB6D63" w:rsidRPr="00F16FC3">
        <w:rPr>
          <w:rFonts w:eastAsia="Calibri" w:cs="Times New Roman"/>
          <w:color w:val="292574"/>
        </w:rPr>
        <w:t xml:space="preserve"> du</w:t>
      </w:r>
      <w:r w:rsidR="00B613B7" w:rsidRPr="00F16FC3">
        <w:rPr>
          <w:rFonts w:eastAsia="Calibri" w:cs="Times New Roman"/>
          <w:color w:val="292574"/>
        </w:rPr>
        <w:t xml:space="preserve"> GIEC </w:t>
      </w:r>
      <w:r w:rsidR="00DB6D63" w:rsidRPr="00F16FC3">
        <w:rPr>
          <w:rFonts w:eastAsia="Calibri" w:cs="Times New Roman"/>
          <w:color w:val="292574"/>
        </w:rPr>
        <w:t xml:space="preserve">d’environ </w:t>
      </w:r>
      <w:r w:rsidR="00B613B7" w:rsidRPr="00F16FC3">
        <w:rPr>
          <w:rFonts w:eastAsia="Calibri" w:cs="Times New Roman"/>
          <w:color w:val="292574"/>
        </w:rPr>
        <w:t xml:space="preserve">+3 °C </w:t>
      </w:r>
      <w:r w:rsidR="00DB6D63" w:rsidRPr="00F16FC3">
        <w:rPr>
          <w:rFonts w:eastAsia="Calibri" w:cs="Times New Roman"/>
          <w:color w:val="292574"/>
        </w:rPr>
        <w:t xml:space="preserve">à l’échelle </w:t>
      </w:r>
      <w:r w:rsidR="00B613B7" w:rsidRPr="00F16FC3">
        <w:rPr>
          <w:rFonts w:eastAsia="Calibri" w:cs="Times New Roman"/>
          <w:color w:val="292574"/>
        </w:rPr>
        <w:t>mondial</w:t>
      </w:r>
      <w:r w:rsidR="00DB6D63" w:rsidRPr="00F16FC3">
        <w:rPr>
          <w:rFonts w:eastAsia="Calibri" w:cs="Times New Roman"/>
          <w:color w:val="292574"/>
        </w:rPr>
        <w:t>e</w:t>
      </w:r>
      <w:r w:rsidR="00B613B7" w:rsidRPr="00F16FC3">
        <w:rPr>
          <w:rFonts w:eastAsia="Calibri" w:cs="Times New Roman"/>
          <w:color w:val="292574"/>
        </w:rPr>
        <w:t xml:space="preserve">. </w:t>
      </w:r>
      <w:r w:rsidRPr="00F16FC3">
        <w:rPr>
          <w:rFonts w:eastAsia="Calibri" w:cs="Times New Roman"/>
          <w:color w:val="292574"/>
        </w:rPr>
        <w:t>Ce scénario prend en compte les politiques mondiales en place pour limiter les émissions de gaz à effet de serre et les engagements supplémentaires des États tels qu’exprimés dans leurs contributions nationales demandées par l’Accord de Paris. Il a vocation à être révisé à échéances régulières en fonction du niveau de réchauffement mondial atteint et des projections scientifiques afin d’ajuster, le cas échéant, le rythme d’adaptation.</w:t>
      </w:r>
    </w:p>
    <w:p w14:paraId="27621231" w14:textId="220FDAA7" w:rsidR="00B613B7" w:rsidRPr="00C15F4E" w:rsidRDefault="00F16FC3" w:rsidP="00EF39BE">
      <w:pPr>
        <w:pStyle w:val="NormalNoir"/>
        <w:rPr>
          <w:rFonts w:eastAsia="Calibri" w:cs="Times New Roman"/>
          <w:color w:val="292574"/>
        </w:rPr>
      </w:pPr>
      <w:r>
        <w:rPr>
          <w:rFonts w:eastAsia="Calibri" w:cs="Times New Roman"/>
          <w:color w:val="292574"/>
        </w:rPr>
        <w:tab/>
      </w:r>
      <w:r w:rsidR="00B613B7" w:rsidRPr="00F16FC3">
        <w:rPr>
          <w:rFonts w:eastAsia="Calibri" w:cs="Times New Roman"/>
          <w:color w:val="292574"/>
        </w:rPr>
        <w:t xml:space="preserve">Contrairement aux scénarios du GIEC basés sur des trajectoires d’émissions, cette approche raisonne </w:t>
      </w:r>
      <w:r>
        <w:rPr>
          <w:rFonts w:eastAsia="Calibri" w:cs="Times New Roman"/>
          <w:color w:val="292574"/>
        </w:rPr>
        <w:t xml:space="preserve">donc </w:t>
      </w:r>
      <w:r w:rsidR="00B613B7" w:rsidRPr="00F16FC3">
        <w:rPr>
          <w:rFonts w:eastAsia="Calibri" w:cs="Times New Roman"/>
          <w:color w:val="292574"/>
        </w:rPr>
        <w:t>en niveaux de réchauffement atteints, afin de fournir une référence opérationnelle commune pour les politiques d’adaptation.</w:t>
      </w:r>
    </w:p>
    <w:p w14:paraId="7860BB30" w14:textId="23934514" w:rsidR="00B613B7" w:rsidRPr="00C15F4E" w:rsidRDefault="00F16FC3" w:rsidP="00EF39BE">
      <w:pPr>
        <w:pStyle w:val="NormalNoir"/>
        <w:rPr>
          <w:rFonts w:eastAsia="Calibri" w:cs="Times New Roman"/>
          <w:color w:val="292574"/>
        </w:rPr>
      </w:pPr>
      <w:r>
        <w:rPr>
          <w:rFonts w:eastAsia="Calibri" w:cs="Times New Roman"/>
          <w:color w:val="292574"/>
        </w:rPr>
        <w:tab/>
      </w:r>
      <w:r w:rsidR="00B613B7" w:rsidRPr="00C15F4E">
        <w:rPr>
          <w:rFonts w:eastAsia="Calibri" w:cs="Times New Roman"/>
          <w:color w:val="292574"/>
        </w:rPr>
        <w:t>Cette trajectoire est aujourd’hui déclinée sur plusieurs territoires ultramarins, dont la Guyane, avec des données climatiques territorialisées mises à disposition via le portail DRIAS. En Guyane</w:t>
      </w:r>
      <w:r>
        <w:rPr>
          <w:rStyle w:val="Appelnotedebasdep"/>
          <w:rFonts w:eastAsia="Calibri" w:cs="Times New Roman"/>
          <w:color w:val="292574"/>
        </w:rPr>
        <w:footnoteReference w:id="4"/>
      </w:r>
      <w:r w:rsidR="00B613B7" w:rsidRPr="00C15F4E">
        <w:rPr>
          <w:rFonts w:eastAsia="Calibri" w:cs="Times New Roman"/>
          <w:color w:val="292574"/>
        </w:rPr>
        <w:t xml:space="preserve">, les projections associées à la TRACC indiquent, par rapport à </w:t>
      </w:r>
      <w:r w:rsidRPr="00F16FC3">
        <w:rPr>
          <w:rFonts w:eastAsia="Calibri" w:cs="Times New Roman"/>
          <w:color w:val="292574"/>
        </w:rPr>
        <w:t>par rapport à la température de référence de l’ère préindustrielle</w:t>
      </w:r>
      <w:r>
        <w:rPr>
          <w:rStyle w:val="Appelnotedebasdep"/>
          <w:rFonts w:eastAsia="Calibri" w:cs="Times New Roman"/>
          <w:color w:val="292574"/>
        </w:rPr>
        <w:footnoteReference w:id="5"/>
      </w:r>
      <w:r>
        <w:rPr>
          <w:rFonts w:eastAsia="Calibri" w:cs="Times New Roman"/>
          <w:color w:val="292574"/>
        </w:rPr>
        <w:t xml:space="preserve">, </w:t>
      </w:r>
      <w:r w:rsidR="00B613B7" w:rsidRPr="00C15F4E">
        <w:rPr>
          <w:rFonts w:eastAsia="Calibri" w:cs="Times New Roman"/>
          <w:color w:val="292574"/>
        </w:rPr>
        <w:t xml:space="preserve">une hausse des températures moyennes annuelles de l’ordre de +1,7 °C à l’horizon 2030, +2,3°C à 2050 et +3,5 °C à 2100, correspondant respectivement à des niveaux de réchauffement global d’environ +1,5 °C, +2 °C et +3 °C. </w:t>
      </w:r>
      <w:r>
        <w:rPr>
          <w:rFonts w:eastAsia="Calibri" w:cs="Times New Roman"/>
          <w:color w:val="292574"/>
        </w:rPr>
        <w:t xml:space="preserve"> </w:t>
      </w:r>
    </w:p>
    <w:p w14:paraId="31FA1507" w14:textId="105BE606" w:rsidR="00B613B7" w:rsidRPr="00C15F4E" w:rsidRDefault="00592747" w:rsidP="00EF39BE">
      <w:pPr>
        <w:pStyle w:val="NormalNoir"/>
        <w:rPr>
          <w:rFonts w:eastAsia="Calibri" w:cs="Times New Roman"/>
          <w:color w:val="292574"/>
        </w:rPr>
      </w:pPr>
      <w:r>
        <w:rPr>
          <w:rFonts w:eastAsia="Calibri" w:cs="Times New Roman"/>
          <w:color w:val="292574"/>
        </w:rPr>
        <w:tab/>
      </w:r>
      <w:r w:rsidR="00B613B7" w:rsidRPr="00C15F4E">
        <w:rPr>
          <w:rFonts w:eastAsia="Calibri" w:cs="Times New Roman"/>
          <w:color w:val="292574"/>
        </w:rPr>
        <w:t xml:space="preserve">Avant la mise en place de ce cadre, les travaux disponibles à l’échelle régionale reposaient principalement sur des approches par scénarios d’émissions. À ce titre, le projet </w:t>
      </w:r>
      <w:proofErr w:type="spellStart"/>
      <w:r w:rsidR="00B613B7" w:rsidRPr="00C15F4E">
        <w:rPr>
          <w:rFonts w:eastAsia="Calibri" w:cs="Times New Roman"/>
          <w:color w:val="292574"/>
        </w:rPr>
        <w:t>GuyaClimat</w:t>
      </w:r>
      <w:proofErr w:type="spellEnd"/>
      <w:r w:rsidR="00F16FC3">
        <w:rPr>
          <w:rStyle w:val="Appelnotedebasdep"/>
          <w:rFonts w:eastAsia="Calibri" w:cs="Times New Roman"/>
          <w:color w:val="292574"/>
        </w:rPr>
        <w:footnoteReference w:id="6"/>
      </w:r>
      <w:r w:rsidR="00B613B7" w:rsidRPr="00C15F4E">
        <w:rPr>
          <w:rFonts w:eastAsia="Calibri" w:cs="Times New Roman"/>
          <w:color w:val="292574"/>
        </w:rPr>
        <w:t>, mené par Météo-France et le BRGM et publié en 2022, a permis de caractériser les impacts du changement climatique en Guyane selon les scénarios RCP2.6, RCP4.5 et RCP8.5 du GIEC, constituant ainsi une base de connaissances préalable à l’élaboration et à l’appropriation des nouvelles références climatiques.</w:t>
      </w:r>
    </w:p>
    <w:p w14:paraId="6205794B" w14:textId="3094396A" w:rsidR="00B613B7" w:rsidRPr="00C15F4E" w:rsidRDefault="00592747" w:rsidP="00EF39BE">
      <w:pPr>
        <w:pStyle w:val="NormalNoir"/>
        <w:rPr>
          <w:rFonts w:eastAsia="Calibri" w:cs="Times New Roman"/>
          <w:color w:val="292574"/>
        </w:rPr>
      </w:pPr>
      <w:r>
        <w:rPr>
          <w:rFonts w:eastAsia="Calibri" w:cs="Times New Roman"/>
          <w:color w:val="292574"/>
        </w:rPr>
        <w:tab/>
      </w:r>
      <w:r w:rsidR="00316673" w:rsidRPr="00316673">
        <w:rPr>
          <w:rFonts w:eastAsia="Calibri" w:cs="Times New Roman"/>
          <w:color w:val="292574"/>
        </w:rPr>
        <w:t>D’après ce rapport</w:t>
      </w:r>
      <w:r w:rsidR="00DB6D63" w:rsidRPr="00316673">
        <w:rPr>
          <w:rFonts w:eastAsia="Calibri" w:cs="Times New Roman"/>
          <w:color w:val="292574"/>
        </w:rPr>
        <w:t>,</w:t>
      </w:r>
      <w:r w:rsidR="00B613B7" w:rsidRPr="00316673">
        <w:rPr>
          <w:rFonts w:eastAsia="Calibri" w:cs="Times New Roman"/>
          <w:color w:val="292574"/>
        </w:rPr>
        <w:t xml:space="preserve"> d'ici 2050, la montée du niveau de la mer devrait atteindre 0,24 m pour le RCP2.6 et 0,28 m pour le RCP8.5, et d'ici 2100, elle pourrait atteindre 0,46 m (RCP2.6) à 0,84 m (RCP8.5). Les modèles indiquent également une diminution de l'énergie des vagues due à l'influence de l'Atlantique Nord. En termes de pluviométrie, les jours secs deviendront plus fréquents, et les fortes pluies plus rares, avec une baisse marquée des précipitations entre décembre et avril. Les températures minimales sur le littoral devraient augmenter de 2,5 à 3°C d'ici 2100 et les maximales de 1,5 à 2°C (RCP4.5), et respectivement jusqu'à 3,5°C et 4°C pour le scénario RCP8.5.</w:t>
      </w:r>
      <w:r w:rsidR="00B613B7" w:rsidRPr="00C15F4E">
        <w:rPr>
          <w:rFonts w:eastAsia="Calibri" w:cs="Times New Roman"/>
          <w:color w:val="292574"/>
        </w:rPr>
        <w:t xml:space="preserve"> </w:t>
      </w:r>
    </w:p>
    <w:p w14:paraId="070B2497" w14:textId="416B6B0E" w:rsidR="00B613B7" w:rsidRPr="00C15F4E" w:rsidRDefault="00592747" w:rsidP="00EF39BE">
      <w:pPr>
        <w:pStyle w:val="NormalNoir"/>
        <w:rPr>
          <w:rFonts w:eastAsia="Calibri" w:cs="Times New Roman"/>
          <w:color w:val="292574"/>
        </w:rPr>
      </w:pPr>
      <w:r>
        <w:rPr>
          <w:rFonts w:eastAsia="Calibri" w:cs="Times New Roman"/>
          <w:color w:val="292574"/>
        </w:rPr>
        <w:lastRenderedPageBreak/>
        <w:tab/>
      </w:r>
      <w:r w:rsidR="00B613B7" w:rsidRPr="00C15F4E">
        <w:rPr>
          <w:rFonts w:eastAsia="Calibri" w:cs="Times New Roman"/>
          <w:color w:val="292574"/>
        </w:rPr>
        <w:t>Les infrastructures portuaires actuelles du GPMG (quai 1 mis en service en 2011, quai 2 en 2014) ont été dimensionnées pour intégrer une hausse marine de +0,20 m à horizon 2050, limitant ainsi leur vulnérabilité à court et moyen terme. Le GPMG privilégie donc une stratégie proactive axée sur les nouvelles infrastructures et les reconstructions prévues (ex. quai Ro-Ro), en intégrant les recommandations des Plans de Prévention des Risques d’Inondation Littoraux (PPRIL) : zones tampons, préservation des mangroves et ripisylves, constructions résilientes hors d’eau/submersion, espaces végétalisés, transparence hydraulique.</w:t>
      </w:r>
    </w:p>
    <w:p w14:paraId="77FD0E6C" w14:textId="7131C1AF" w:rsidR="0071543F" w:rsidRDefault="0071543F" w:rsidP="00EF39BE">
      <w:pPr>
        <w:spacing w:after="160" w:line="259" w:lineRule="auto"/>
        <w:rPr>
          <w:rFonts w:cs="Arial"/>
          <w:lang w:val="pt-PT"/>
        </w:rPr>
      </w:pPr>
      <w:r>
        <w:rPr>
          <w:rFonts w:cs="Arial"/>
          <w:lang w:val="pt-PT"/>
        </w:rPr>
        <w:br w:type="page"/>
      </w:r>
    </w:p>
    <w:p w14:paraId="421F38ED" w14:textId="17593621" w:rsidR="004245B5" w:rsidRDefault="00821A66" w:rsidP="008B1F62">
      <w:pPr>
        <w:pStyle w:val="Titre2"/>
      </w:pPr>
      <w:bookmarkStart w:id="12" w:name="_Toc235518165"/>
      <w:r w:rsidRPr="00821A66">
        <w:lastRenderedPageBreak/>
        <w:t>Principe méthodologique de la démarche d’adaptation</w:t>
      </w:r>
      <w:bookmarkEnd w:id="12"/>
      <w:r w:rsidRPr="00821A66">
        <w:t xml:space="preserve"> </w:t>
      </w:r>
    </w:p>
    <w:p w14:paraId="445BEF0F" w14:textId="7AE20F35" w:rsidR="001C1EBA" w:rsidRDefault="00537E4A" w:rsidP="00EF39BE">
      <w:pPr>
        <w:spacing w:before="119" w:after="119"/>
      </w:pPr>
      <w:r>
        <w:tab/>
      </w:r>
      <w:r w:rsidR="001C1EBA">
        <w:t>Le Cerema a développé et commencé à déployer depuis quelques années une méthode permettant de réaliser un diagnostic de vulnérabilité des infrastructures de transport face au changement climatique</w:t>
      </w:r>
      <w:r w:rsidR="0039031F">
        <w:t> : l</w:t>
      </w:r>
      <w:r w:rsidR="001C1EBA">
        <w:t>a méthode ASAIT</w:t>
      </w:r>
      <w:r w:rsidR="000315E1">
        <w:rPr>
          <w:rStyle w:val="Appelnotedebasdep"/>
        </w:rPr>
        <w:footnoteReference w:id="7"/>
      </w:r>
      <w:r w:rsidR="001C1EBA">
        <w:t>.</w:t>
      </w:r>
      <w:r w:rsidR="0039031F">
        <w:t xml:space="preserve"> Elle</w:t>
      </w:r>
      <w:r w:rsidR="001C1EBA">
        <w:t xml:space="preserve"> se décline en général en 10 étapes :</w:t>
      </w:r>
    </w:p>
    <w:p w14:paraId="15EEDCC8" w14:textId="1372F8CE" w:rsidR="001C1EBA" w:rsidRDefault="001C1EBA" w:rsidP="00E45AE5">
      <w:pPr>
        <w:pStyle w:val="Paragraphedeliste"/>
        <w:numPr>
          <w:ilvl w:val="0"/>
          <w:numId w:val="31"/>
        </w:numPr>
        <w:spacing w:before="119" w:after="119"/>
      </w:pPr>
      <w:r>
        <w:t>Les étapes 1 à 3 permettent de cadrer le diagnostic de vulnérabilité par la définition des objectifs de l'étude comme :</w:t>
      </w:r>
    </w:p>
    <w:p w14:paraId="07989F54" w14:textId="126E7A14" w:rsidR="001C1EBA" w:rsidRDefault="001C1EBA" w:rsidP="00EF39BE">
      <w:pPr>
        <w:spacing w:before="119" w:after="119"/>
      </w:pPr>
      <w:r>
        <w:t>◦ L'ensemble des périmètres</w:t>
      </w:r>
      <w:r w:rsidR="00DC191C">
        <w:t xml:space="preserve"> </w:t>
      </w:r>
      <w:r>
        <w:t>géographiques, climatiques, structurels, …</w:t>
      </w:r>
    </w:p>
    <w:p w14:paraId="0525159D" w14:textId="334E1A79" w:rsidR="001C1EBA" w:rsidRDefault="001C1EBA" w:rsidP="00EF39BE">
      <w:pPr>
        <w:spacing w:before="119" w:after="119"/>
      </w:pPr>
      <w:r>
        <w:t>◦ La gouvernance et l'équipe de travail et d'expert à mobiliser</w:t>
      </w:r>
      <w:r w:rsidR="00DC191C">
        <w:t>.</w:t>
      </w:r>
    </w:p>
    <w:p w14:paraId="7ABACF12" w14:textId="7CF96314" w:rsidR="001C1EBA" w:rsidRDefault="001C1EBA" w:rsidP="00E45AE5">
      <w:pPr>
        <w:pStyle w:val="Paragraphedeliste"/>
        <w:numPr>
          <w:ilvl w:val="0"/>
          <w:numId w:val="31"/>
        </w:numPr>
        <w:spacing w:before="119" w:after="119"/>
      </w:pPr>
      <w:r>
        <w:t>Les étapes 4 à 7 consistent à la réalisation du diagnostic de vulnérabilité, par une analyse puis une notation des différents impacts (structurels et fonctionnels) des aléas climatiques sur les infrastructures de transport.</w:t>
      </w:r>
    </w:p>
    <w:p w14:paraId="6BA6D7BA" w14:textId="77777777" w:rsidR="001C1EBA" w:rsidRDefault="001C1EBA" w:rsidP="00EF39BE">
      <w:pPr>
        <w:spacing w:before="119" w:after="119"/>
      </w:pPr>
      <w:r>
        <w:t>À l’issue de la 7e étape, les gestionnaires concernés obtiennent une vision globale du niveau de risque des infrastructures et des fonctionnalités de leur réseau face à différents aléas climatiques, avec une vision prospective dans un contexte de changement climatique</w:t>
      </w:r>
    </w:p>
    <w:p w14:paraId="7AAEF3E0" w14:textId="3D185805" w:rsidR="001C1EBA" w:rsidRDefault="001C1EBA" w:rsidP="00E45AE5">
      <w:pPr>
        <w:pStyle w:val="Paragraphedeliste"/>
        <w:numPr>
          <w:ilvl w:val="0"/>
          <w:numId w:val="31"/>
        </w:numPr>
        <w:spacing w:before="119" w:after="119"/>
      </w:pPr>
      <w:r>
        <w:t>Les étapes 8 à 10 permettent d'établir une stratégie d’adaptation sur la base du diagnostic. Les gestionnaires peuvent alors identifier différentes solutions d’adaptation pour répondre aux vulnérabilités, puis prioriser ces solutions à l’aide d’outils socio-économiques pour développer une stratégie d’adaptation. Un plan d’adaptation peut enfin être mis en place en définissant un calendrier de mise en œuvre des solutions, en suivant leur mise en œuvre, en identifiant les acteurs à mobiliser dans le cadre du plan, et en évaluant l’efficacité des mesures réalisées.</w:t>
      </w:r>
    </w:p>
    <w:p w14:paraId="7AB7F2B6" w14:textId="77777777" w:rsidR="000909C8" w:rsidRDefault="000909C8" w:rsidP="00EF39BE">
      <w:pPr>
        <w:pStyle w:val="Default"/>
        <w:jc w:val="both"/>
        <w:rPr>
          <w:color w:val="292574"/>
          <w:sz w:val="22"/>
        </w:rPr>
      </w:pPr>
    </w:p>
    <w:p w14:paraId="7DE73C88" w14:textId="77777777" w:rsidR="000909C8" w:rsidRDefault="000909C8" w:rsidP="00EF39BE">
      <w:pPr>
        <w:spacing w:after="160" w:line="259" w:lineRule="auto"/>
      </w:pPr>
      <w:r>
        <w:rPr>
          <w:noProof/>
        </w:rPr>
        <w:drawing>
          <wp:inline distT="0" distB="0" distL="0" distR="0" wp14:anchorId="3D0F3340" wp14:editId="402D561A">
            <wp:extent cx="6829425" cy="3838575"/>
            <wp:effectExtent l="0" t="0" r="9525" b="9525"/>
            <wp:docPr id="4" name="Image 30"/>
            <wp:cNvGraphicFramePr/>
            <a:graphic xmlns:a="http://schemas.openxmlformats.org/drawingml/2006/main">
              <a:graphicData uri="http://schemas.openxmlformats.org/drawingml/2006/picture">
                <pic:pic xmlns:pic="http://schemas.openxmlformats.org/drawingml/2006/picture">
                  <pic:nvPicPr>
                    <pic:cNvPr id="19" name="Image 30"/>
                    <pic:cNvPicPr/>
                  </pic:nvPicPr>
                  <pic:blipFill>
                    <a:blip r:embed="rId11"/>
                    <a:stretch/>
                  </pic:blipFill>
                  <pic:spPr bwMode="auto">
                    <a:xfrm>
                      <a:off x="0" y="0"/>
                      <a:ext cx="6829425" cy="3838575"/>
                    </a:xfrm>
                    <a:prstGeom prst="rect">
                      <a:avLst/>
                    </a:prstGeom>
                    <a:ln w="0">
                      <a:noFill/>
                    </a:ln>
                  </pic:spPr>
                </pic:pic>
              </a:graphicData>
            </a:graphic>
          </wp:inline>
        </w:drawing>
      </w:r>
    </w:p>
    <w:p w14:paraId="2B0A1688" w14:textId="77777777" w:rsidR="000909C8" w:rsidRDefault="000909C8" w:rsidP="00EF39BE">
      <w:pPr>
        <w:pStyle w:val="Lgende"/>
        <w:jc w:val="both"/>
      </w:pPr>
      <w:r>
        <w:t>Représentation des 10 étapes de la démarche de résilience au changement climatique développée par le Cerema</w:t>
      </w:r>
    </w:p>
    <w:p w14:paraId="2480A093" w14:textId="52905539" w:rsidR="001C1EBA" w:rsidRDefault="00537E4A" w:rsidP="0071543F">
      <w:pPr>
        <w:spacing w:before="198" w:after="119"/>
      </w:pPr>
      <w:r>
        <w:tab/>
      </w:r>
    </w:p>
    <w:p w14:paraId="062257FB" w14:textId="77777777" w:rsidR="0039031F" w:rsidRDefault="0039031F" w:rsidP="0071543F">
      <w:pPr>
        <w:spacing w:before="198" w:after="119"/>
        <w:rPr>
          <w:color w:val="292574"/>
        </w:rPr>
      </w:pPr>
    </w:p>
    <w:p w14:paraId="29C3E706" w14:textId="2076EE0A" w:rsidR="0071543F" w:rsidRDefault="00885FB1" w:rsidP="0071543F">
      <w:pPr>
        <w:rPr>
          <w:color w:val="292574"/>
        </w:rPr>
      </w:pPr>
      <w:r>
        <w:rPr>
          <w:color w:val="292574"/>
        </w:rPr>
        <w:lastRenderedPageBreak/>
        <w:tab/>
      </w:r>
      <w:r w:rsidR="00C15F4E">
        <w:rPr>
          <w:color w:val="292574"/>
        </w:rPr>
        <w:t xml:space="preserve">Comme cela a été évoqué succinctement dans le chapitre </w:t>
      </w:r>
      <w:r>
        <w:rPr>
          <w:color w:val="292574"/>
        </w:rPr>
        <w:t>1</w:t>
      </w:r>
      <w:r w:rsidR="00C15F4E">
        <w:rPr>
          <w:color w:val="292574"/>
        </w:rPr>
        <w:t>, le Cerema a élaboré une méthodologie opérationnelle permettant de conduire les travaux nécessaires à la réalisation de ces objectifs. Cependant d’autres méthodologies peuvent également être utilisés pour la suite comme la méthodologie PIANC</w:t>
      </w:r>
      <w:r w:rsidR="00DE04A4">
        <w:rPr>
          <w:rStyle w:val="Appelnotedebasdep"/>
          <w:color w:val="292574"/>
        </w:rPr>
        <w:footnoteReference w:id="8"/>
      </w:r>
      <w:r w:rsidR="00C15F4E">
        <w:rPr>
          <w:color w:val="292574"/>
        </w:rPr>
        <w:t xml:space="preserve"> décrite par le schéma ci-dessous. L’étape 1 de cette méthodologie est équivalente à la phase 1 de la méthodologie du Cerema qui </w:t>
      </w:r>
      <w:r>
        <w:rPr>
          <w:color w:val="292574"/>
        </w:rPr>
        <w:t>a été</w:t>
      </w:r>
      <w:r w:rsidR="00C15F4E">
        <w:rPr>
          <w:color w:val="292574"/>
        </w:rPr>
        <w:t xml:space="preserve"> réalisée. </w:t>
      </w:r>
    </w:p>
    <w:p w14:paraId="3AB1C0FC" w14:textId="77777777" w:rsidR="0071543F" w:rsidRDefault="0071543F" w:rsidP="0071543F">
      <w:pPr>
        <w:rPr>
          <w:color w:val="292574"/>
        </w:rPr>
      </w:pPr>
    </w:p>
    <w:p w14:paraId="5C048EE7" w14:textId="708CC945" w:rsidR="00D933EF" w:rsidRDefault="00885FB1" w:rsidP="0071543F">
      <w:pPr>
        <w:rPr>
          <w:color w:val="292574"/>
        </w:rPr>
      </w:pPr>
      <w:r>
        <w:rPr>
          <w:color w:val="292574"/>
        </w:rPr>
        <w:tab/>
      </w:r>
      <w:r w:rsidR="00D933EF">
        <w:rPr>
          <w:color w:val="292574"/>
        </w:rPr>
        <w:t xml:space="preserve">Compte tenu du périmètre relativement restreint des infrastructures retenu pour la suite de l’étude de vulnérabilité du Grand Port Maritime de Guyane, et de la nature récente de certaines de ces infrastructures, il apparaît préférable pour le Grand Port d’envisager une approche plus allégée que la méthodologie en 10 étapes, peut-être avec 4 </w:t>
      </w:r>
      <w:r w:rsidR="0039031F">
        <w:rPr>
          <w:color w:val="292574"/>
        </w:rPr>
        <w:t>points d’arrêt</w:t>
      </w:r>
      <w:r w:rsidR="00D933EF">
        <w:rPr>
          <w:color w:val="292574"/>
        </w:rPr>
        <w:t xml:space="preserve"> comme celles proposées par la méthodologie PIANC.</w:t>
      </w:r>
    </w:p>
    <w:p w14:paraId="14B3CF19" w14:textId="77777777" w:rsidR="00C15F4E" w:rsidRDefault="00C15F4E" w:rsidP="00D933EF">
      <w:pPr>
        <w:keepNext/>
        <w:jc w:val="center"/>
      </w:pPr>
      <w:r>
        <w:rPr>
          <w:noProof/>
          <w:color w:val="292574"/>
        </w:rPr>
        <w:drawing>
          <wp:inline distT="0" distB="0" distL="0" distR="0" wp14:anchorId="24B70B96" wp14:editId="1D444446">
            <wp:extent cx="3817620" cy="2647950"/>
            <wp:effectExtent l="0" t="0" r="0" b="0"/>
            <wp:docPr id="6"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
                    <pic:cNvPicPr>
                      <a:picLocks noChangeAspect="1" noChangeArrowheads="1"/>
                    </pic:cNvPicPr>
                  </pic:nvPicPr>
                  <pic:blipFill>
                    <a:blip r:embed="rId12"/>
                    <a:stretch>
                      <a:fillRect/>
                    </a:stretch>
                  </pic:blipFill>
                  <pic:spPr bwMode="auto">
                    <a:xfrm>
                      <a:off x="0" y="0"/>
                      <a:ext cx="3817620" cy="2647950"/>
                    </a:xfrm>
                    <a:prstGeom prst="rect">
                      <a:avLst/>
                    </a:prstGeom>
                    <a:noFill/>
                  </pic:spPr>
                </pic:pic>
              </a:graphicData>
            </a:graphic>
          </wp:inline>
        </w:drawing>
      </w:r>
    </w:p>
    <w:p w14:paraId="511CB97D" w14:textId="73729EC1" w:rsidR="00C15F4E" w:rsidRDefault="00C15F4E" w:rsidP="00D933EF">
      <w:pPr>
        <w:pStyle w:val="Lgende"/>
        <w:jc w:val="center"/>
        <w:rPr>
          <w:color w:val="292574"/>
        </w:rPr>
      </w:pPr>
      <w:r>
        <w:t xml:space="preserve">Figure </w:t>
      </w:r>
      <w:fldSimple w:instr=" SEQ Figure \* ARABIC ">
        <w:r w:rsidR="00005975">
          <w:rPr>
            <w:noProof/>
          </w:rPr>
          <w:t>1</w:t>
        </w:r>
      </w:fldSimple>
      <w:r>
        <w:t xml:space="preserve"> : Méthodologie PIANC</w:t>
      </w:r>
    </w:p>
    <w:p w14:paraId="5604CE38" w14:textId="77777777" w:rsidR="00C15F4E" w:rsidRDefault="00C15F4E" w:rsidP="00EF39BE">
      <w:pPr>
        <w:rPr>
          <w:color w:val="292574"/>
        </w:rPr>
      </w:pPr>
    </w:p>
    <w:p w14:paraId="23D3C999" w14:textId="5D015317" w:rsidR="00C15F4E" w:rsidRDefault="003879DF" w:rsidP="00EF39BE">
      <w:pPr>
        <w:spacing w:after="160" w:line="259" w:lineRule="auto"/>
        <w:rPr>
          <w:color w:val="292574"/>
          <w:shd w:val="clear" w:color="auto" w:fill="FFFF00"/>
        </w:rPr>
      </w:pPr>
      <w:r>
        <w:rPr>
          <w:color w:val="292574"/>
        </w:rPr>
        <w:t>Nous avons</w:t>
      </w:r>
      <w:r w:rsidR="00C15F4E">
        <w:rPr>
          <w:color w:val="292574"/>
        </w:rPr>
        <w:t xml:space="preserve"> </w:t>
      </w:r>
      <w:r w:rsidR="0071543F">
        <w:rPr>
          <w:color w:val="292574"/>
        </w:rPr>
        <w:t>associé</w:t>
      </w:r>
      <w:r w:rsidR="00C15F4E">
        <w:rPr>
          <w:color w:val="292574"/>
        </w:rPr>
        <w:t xml:space="preserve"> les étapes des différentes méthodes de la manière suivante :</w:t>
      </w:r>
      <w:r w:rsidR="00C15F4E">
        <w:rPr>
          <w:color w:val="292574"/>
          <w:shd w:val="clear" w:color="auto" w:fill="FFFF00"/>
        </w:rPr>
        <w:t xml:space="preserve"> </w:t>
      </w:r>
    </w:p>
    <w:tbl>
      <w:tblPr>
        <w:tblW w:w="10013" w:type="dxa"/>
        <w:tblInd w:w="-113" w:type="dxa"/>
        <w:tblLayout w:type="fixed"/>
        <w:tblLook w:val="04A0" w:firstRow="1" w:lastRow="0" w:firstColumn="1" w:lastColumn="0" w:noHBand="0" w:noVBand="1"/>
      </w:tblPr>
      <w:tblGrid>
        <w:gridCol w:w="5006"/>
        <w:gridCol w:w="5007"/>
      </w:tblGrid>
      <w:tr w:rsidR="00C15F4E" w14:paraId="052A90B0" w14:textId="77777777" w:rsidTr="0071543F">
        <w:trPr>
          <w:trHeight w:val="329"/>
        </w:trPr>
        <w:tc>
          <w:tcPr>
            <w:tcW w:w="5006" w:type="dxa"/>
            <w:tcBorders>
              <w:top w:val="single" w:sz="4" w:space="0" w:color="000000"/>
              <w:left w:val="single" w:sz="4" w:space="0" w:color="000000"/>
              <w:bottom w:val="single" w:sz="4" w:space="0" w:color="000000"/>
              <w:right w:val="single" w:sz="4" w:space="0" w:color="000000"/>
            </w:tcBorders>
          </w:tcPr>
          <w:p w14:paraId="0EE9C382"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Méthode PIANC</w:t>
            </w:r>
          </w:p>
        </w:tc>
        <w:tc>
          <w:tcPr>
            <w:tcW w:w="5007" w:type="dxa"/>
            <w:tcBorders>
              <w:top w:val="single" w:sz="4" w:space="0" w:color="000000"/>
              <w:left w:val="single" w:sz="4" w:space="0" w:color="000000"/>
              <w:bottom w:val="single" w:sz="4" w:space="0" w:color="000000"/>
              <w:right w:val="single" w:sz="4" w:space="0" w:color="000000"/>
            </w:tcBorders>
          </w:tcPr>
          <w:p w14:paraId="38FE0C4C"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Méthode ASAIT</w:t>
            </w:r>
          </w:p>
        </w:tc>
      </w:tr>
      <w:tr w:rsidR="00C15F4E" w14:paraId="13CC6B20" w14:textId="77777777" w:rsidTr="0071543F">
        <w:trPr>
          <w:trHeight w:val="329"/>
        </w:trPr>
        <w:tc>
          <w:tcPr>
            <w:tcW w:w="5006" w:type="dxa"/>
            <w:tcBorders>
              <w:top w:val="single" w:sz="4" w:space="0" w:color="000000"/>
              <w:left w:val="single" w:sz="4" w:space="0" w:color="000000"/>
              <w:bottom w:val="single" w:sz="4" w:space="0" w:color="000000"/>
              <w:right w:val="single" w:sz="4" w:space="0" w:color="000000"/>
            </w:tcBorders>
          </w:tcPr>
          <w:p w14:paraId="4CFD5194"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 1 : Contexte &amp; Objectifs</w:t>
            </w:r>
          </w:p>
        </w:tc>
        <w:tc>
          <w:tcPr>
            <w:tcW w:w="5007" w:type="dxa"/>
            <w:tcBorders>
              <w:top w:val="single" w:sz="4" w:space="0" w:color="000000"/>
              <w:left w:val="single" w:sz="4" w:space="0" w:color="000000"/>
              <w:bottom w:val="single" w:sz="4" w:space="0" w:color="000000"/>
              <w:right w:val="single" w:sz="4" w:space="0" w:color="000000"/>
            </w:tcBorders>
          </w:tcPr>
          <w:p w14:paraId="2D2F89F6"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Étapes 1 &amp; 2</w:t>
            </w:r>
          </w:p>
        </w:tc>
      </w:tr>
      <w:tr w:rsidR="00C15F4E" w14:paraId="65ECA267" w14:textId="77777777" w:rsidTr="0071543F">
        <w:trPr>
          <w:trHeight w:val="329"/>
        </w:trPr>
        <w:tc>
          <w:tcPr>
            <w:tcW w:w="5006" w:type="dxa"/>
            <w:tcBorders>
              <w:top w:val="single" w:sz="4" w:space="0" w:color="000000"/>
              <w:left w:val="single" w:sz="4" w:space="0" w:color="000000"/>
              <w:bottom w:val="single" w:sz="4" w:space="0" w:color="000000"/>
              <w:right w:val="single" w:sz="4" w:space="0" w:color="000000"/>
            </w:tcBorders>
          </w:tcPr>
          <w:p w14:paraId="24366C6A"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 2 : Informations sur le climat</w:t>
            </w:r>
          </w:p>
        </w:tc>
        <w:tc>
          <w:tcPr>
            <w:tcW w:w="5007" w:type="dxa"/>
            <w:tcBorders>
              <w:top w:val="single" w:sz="4" w:space="0" w:color="000000"/>
              <w:left w:val="single" w:sz="4" w:space="0" w:color="000000"/>
              <w:bottom w:val="single" w:sz="4" w:space="0" w:color="000000"/>
              <w:right w:val="single" w:sz="4" w:space="0" w:color="000000"/>
            </w:tcBorders>
          </w:tcPr>
          <w:p w14:paraId="56E9E46A"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 3</w:t>
            </w:r>
          </w:p>
        </w:tc>
      </w:tr>
      <w:tr w:rsidR="00C15F4E" w14:paraId="64C41634" w14:textId="77777777" w:rsidTr="0071543F">
        <w:trPr>
          <w:trHeight w:val="329"/>
        </w:trPr>
        <w:tc>
          <w:tcPr>
            <w:tcW w:w="5006" w:type="dxa"/>
            <w:tcBorders>
              <w:top w:val="single" w:sz="4" w:space="0" w:color="000000"/>
              <w:left w:val="single" w:sz="4" w:space="0" w:color="000000"/>
              <w:bottom w:val="single" w:sz="4" w:space="0" w:color="000000"/>
              <w:right w:val="single" w:sz="4" w:space="0" w:color="000000"/>
            </w:tcBorders>
          </w:tcPr>
          <w:p w14:paraId="421F38D6"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 3 : Vulnérabilités &amp; Risques</w:t>
            </w:r>
          </w:p>
        </w:tc>
        <w:tc>
          <w:tcPr>
            <w:tcW w:w="5007" w:type="dxa"/>
            <w:tcBorders>
              <w:top w:val="single" w:sz="4" w:space="0" w:color="000000"/>
              <w:left w:val="single" w:sz="4" w:space="0" w:color="000000"/>
              <w:bottom w:val="single" w:sz="4" w:space="0" w:color="000000"/>
              <w:right w:val="single" w:sz="4" w:space="0" w:color="000000"/>
            </w:tcBorders>
          </w:tcPr>
          <w:p w14:paraId="42D44767"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Étapes 4, 5, 6 et 7</w:t>
            </w:r>
          </w:p>
        </w:tc>
      </w:tr>
      <w:tr w:rsidR="00C15F4E" w14:paraId="1DFB562A" w14:textId="77777777" w:rsidTr="0071543F">
        <w:trPr>
          <w:trHeight w:val="276"/>
        </w:trPr>
        <w:tc>
          <w:tcPr>
            <w:tcW w:w="5006" w:type="dxa"/>
            <w:tcBorders>
              <w:top w:val="single" w:sz="4" w:space="0" w:color="000000"/>
              <w:left w:val="single" w:sz="4" w:space="0" w:color="000000"/>
              <w:bottom w:val="single" w:sz="4" w:space="0" w:color="000000"/>
              <w:right w:val="single" w:sz="4" w:space="0" w:color="000000"/>
            </w:tcBorders>
          </w:tcPr>
          <w:p w14:paraId="5194B649"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 4 : Possibilités d’adaptation</w:t>
            </w:r>
          </w:p>
        </w:tc>
        <w:tc>
          <w:tcPr>
            <w:tcW w:w="5007" w:type="dxa"/>
            <w:tcBorders>
              <w:top w:val="single" w:sz="4" w:space="0" w:color="000000"/>
              <w:left w:val="single" w:sz="4" w:space="0" w:color="000000"/>
              <w:bottom w:val="single" w:sz="4" w:space="0" w:color="000000"/>
              <w:right w:val="single" w:sz="4" w:space="0" w:color="000000"/>
            </w:tcBorders>
          </w:tcPr>
          <w:p w14:paraId="5121EFDA" w14:textId="77777777" w:rsidR="00C15F4E" w:rsidRDefault="00C15F4E" w:rsidP="0071543F">
            <w:pPr>
              <w:spacing w:after="160" w:line="259" w:lineRule="auto"/>
              <w:jc w:val="center"/>
              <w:rPr>
                <w:color w:val="292574"/>
                <w:sz w:val="20"/>
                <w:szCs w:val="20"/>
                <w:lang w:eastAsia="fr-FR"/>
              </w:rPr>
            </w:pPr>
            <w:r>
              <w:rPr>
                <w:color w:val="292574"/>
                <w:sz w:val="20"/>
                <w:szCs w:val="20"/>
                <w:lang w:eastAsia="fr-FR"/>
              </w:rPr>
              <w:t>Étapes 8 et 9</w:t>
            </w:r>
          </w:p>
        </w:tc>
      </w:tr>
    </w:tbl>
    <w:p w14:paraId="30595B5E" w14:textId="77777777" w:rsidR="0071543F" w:rsidRDefault="0071543F" w:rsidP="00EF39BE">
      <w:pPr>
        <w:spacing w:after="160" w:line="259" w:lineRule="auto"/>
        <w:rPr>
          <w:color w:val="292574"/>
        </w:rPr>
      </w:pPr>
    </w:p>
    <w:p w14:paraId="0701F9AD" w14:textId="4C69E2BE" w:rsidR="00C15F4E" w:rsidRDefault="0026009F" w:rsidP="00EF39BE">
      <w:pPr>
        <w:spacing w:after="160" w:line="259" w:lineRule="auto"/>
        <w:rPr>
          <w:color w:val="292574"/>
        </w:rPr>
      </w:pPr>
      <w:r>
        <w:rPr>
          <w:color w:val="292574"/>
        </w:rPr>
        <w:tab/>
      </w:r>
      <w:r w:rsidR="00C15F4E">
        <w:rPr>
          <w:color w:val="292574"/>
        </w:rPr>
        <w:t>En effet, la suite de l’étude pourrait ainsi s’articuler autour de macro-étapes intégrant une approche globale, avec un accent particulier porté sur la gestion patrimoniale des infrastructures et la continuité des services. Une composante essentielle de cette étude pourrait être consacrée à l’aide à la décision en matière de relocalisation des installations à l’horizon 2100.</w:t>
      </w:r>
    </w:p>
    <w:p w14:paraId="0C6E4456" w14:textId="7A0FA365" w:rsidR="001F0BB8" w:rsidRPr="001F0BB8" w:rsidRDefault="001F0BB8" w:rsidP="001F0BB8">
      <w:pPr>
        <w:pStyle w:val="Paragraphedeliste"/>
        <w:spacing w:after="160" w:line="259" w:lineRule="auto"/>
        <w:ind w:left="0"/>
        <w:rPr>
          <w:color w:val="292574"/>
        </w:rPr>
      </w:pPr>
      <w:r>
        <w:rPr>
          <w:color w:val="292574"/>
        </w:rPr>
        <w:tab/>
      </w:r>
      <w:r>
        <w:t xml:space="preserve">Le prestataire devra également prendre connaissance des autres méthodologies et recommandations existantes en la matière </w:t>
      </w:r>
      <w:r w:rsidR="00383A2A">
        <w:t>dont</w:t>
      </w:r>
      <w:r>
        <w:t xml:space="preserve"> </w:t>
      </w:r>
      <w:r w:rsidRPr="001F0BB8">
        <w:rPr>
          <w:color w:val="292574"/>
        </w:rPr>
        <w:t>:</w:t>
      </w:r>
    </w:p>
    <w:p w14:paraId="7D405C66" w14:textId="45B94540" w:rsidR="001F0BB8" w:rsidRPr="001F0BB8" w:rsidRDefault="001F0BB8" w:rsidP="001F0BB8">
      <w:pPr>
        <w:pStyle w:val="Paragraphedeliste"/>
        <w:numPr>
          <w:ilvl w:val="1"/>
          <w:numId w:val="68"/>
        </w:numPr>
        <w:spacing w:after="160" w:line="259" w:lineRule="auto"/>
        <w:rPr>
          <w:color w:val="292574"/>
        </w:rPr>
      </w:pPr>
      <w:r w:rsidRPr="001F0BB8">
        <w:rPr>
          <w:color w:val="292574"/>
        </w:rPr>
        <w:t>Norme NF EN ISO 14091 (Adaptation au changement climatique – Lignes directrices sur la vulnérabilité, les impacts et l’évaluation des risques) ;</w:t>
      </w:r>
    </w:p>
    <w:p w14:paraId="2925A7FF" w14:textId="5AB9CCF4" w:rsidR="001F0BB8" w:rsidRPr="001F0BB8" w:rsidRDefault="001F0BB8" w:rsidP="001F0BB8">
      <w:pPr>
        <w:pStyle w:val="Paragraphedeliste"/>
        <w:numPr>
          <w:ilvl w:val="1"/>
          <w:numId w:val="68"/>
        </w:numPr>
        <w:spacing w:after="160" w:line="259" w:lineRule="auto"/>
        <w:rPr>
          <w:color w:val="292574"/>
        </w:rPr>
      </w:pPr>
      <w:r w:rsidRPr="001F0BB8">
        <w:rPr>
          <w:color w:val="292574"/>
        </w:rPr>
        <w:t>Orientations de la Commission européenne sur la prise en compte des enjeux climatiques dans les projets d’infrastructure (2021/C 373/01) ;</w:t>
      </w:r>
    </w:p>
    <w:p w14:paraId="152C6107" w14:textId="4C7FE074" w:rsidR="001F0BB8" w:rsidRPr="001F0BB8" w:rsidRDefault="001F0BB8" w:rsidP="001F0BB8">
      <w:pPr>
        <w:pStyle w:val="Paragraphedeliste"/>
        <w:numPr>
          <w:ilvl w:val="1"/>
          <w:numId w:val="68"/>
        </w:numPr>
        <w:spacing w:after="160" w:line="259" w:lineRule="auto"/>
        <w:rPr>
          <w:color w:val="292574"/>
        </w:rPr>
      </w:pPr>
      <w:r w:rsidRPr="001F0BB8">
        <w:rPr>
          <w:color w:val="292574"/>
        </w:rPr>
        <w:t>Recommandations du PNACC 3 et de la DGITM pour les Grands Ports Maritimes.</w:t>
      </w:r>
    </w:p>
    <w:p w14:paraId="2BF82AD4" w14:textId="60035774" w:rsidR="0039031F" w:rsidRDefault="0039031F" w:rsidP="00EF39BE">
      <w:pPr>
        <w:spacing w:after="160" w:line="259" w:lineRule="auto"/>
        <w:rPr>
          <w:color w:val="292574"/>
        </w:rPr>
      </w:pPr>
      <w:r>
        <w:lastRenderedPageBreak/>
        <w:tab/>
        <w:t>Pour mener à bien ce type de démarche, il est nécessaire de faire participer les services du port en charge de la gestion des différentes infrastructures à étudier à un niveau opérationnel (pour bénéficier des retours d’expérience du terrain) et à un niveau stratégique (pour garantir de la mobilisation tout au long de la démarche et de la mise en œuvre de la stratégie de résilience).</w:t>
      </w:r>
    </w:p>
    <w:p w14:paraId="71D426B4" w14:textId="19F8E9EE" w:rsidR="00C15F4E" w:rsidRDefault="0026009F" w:rsidP="00EF39BE">
      <w:pPr>
        <w:rPr>
          <w:color w:val="292574"/>
        </w:rPr>
      </w:pPr>
      <w:r>
        <w:rPr>
          <w:color w:val="292574"/>
        </w:rPr>
        <w:tab/>
      </w:r>
      <w:r w:rsidR="00C15F4E">
        <w:rPr>
          <w:color w:val="292574"/>
        </w:rPr>
        <w:t xml:space="preserve">Par ailleurs, il serait judicieux pour le Grand Port Maritime de Guyane de poursuivre, en parallèle, le partenariat scientifique avec le laboratoire LEEISE du CNRS et ses partenaires académiques, afin d'assurer un suivi régulier et approfondi des aléas naturels affectant le territoire portuaire. Des investigations complémentaires pourraient être poursuivies sur les dynamiques sédimentaires et les problématiques de dragage dans les estuaires du </w:t>
      </w:r>
      <w:proofErr w:type="spellStart"/>
      <w:r w:rsidR="00C15F4E">
        <w:rPr>
          <w:color w:val="292574"/>
        </w:rPr>
        <w:t>Mahury</w:t>
      </w:r>
      <w:proofErr w:type="spellEnd"/>
      <w:r w:rsidR="00C15F4E">
        <w:rPr>
          <w:color w:val="292574"/>
        </w:rPr>
        <w:t xml:space="preserve"> et de Kourou, notamment en ce qui concerne les bouchons vaseux et leurs liens avec les bancs de vases côtiers. </w:t>
      </w:r>
    </w:p>
    <w:p w14:paraId="31894E19" w14:textId="77777777" w:rsidR="00C15F4E" w:rsidRDefault="00C15F4E" w:rsidP="00EF39BE">
      <w:pPr>
        <w:rPr>
          <w:color w:val="292574"/>
          <w:shd w:val="clear" w:color="auto" w:fill="FFFFFF"/>
        </w:rPr>
      </w:pPr>
    </w:p>
    <w:p w14:paraId="391884FC" w14:textId="76F9798A" w:rsidR="00914D25" w:rsidRDefault="00914D25" w:rsidP="00914D25">
      <w:r>
        <w:t>Dans ce cadre, deux aspects primordiaux sont à rappeler :</w:t>
      </w:r>
    </w:p>
    <w:p w14:paraId="414783AC" w14:textId="77777777" w:rsidR="006B1AAE" w:rsidRDefault="006B1AAE" w:rsidP="00914D25"/>
    <w:p w14:paraId="7CB27A88" w14:textId="640B9F3F" w:rsidR="00914D25" w:rsidRDefault="00914D25" w:rsidP="00E45AE5">
      <w:pPr>
        <w:pStyle w:val="Paragraphedeliste"/>
        <w:numPr>
          <w:ilvl w:val="0"/>
          <w:numId w:val="31"/>
        </w:numPr>
      </w:pPr>
      <w:r>
        <w:t xml:space="preserve">L’objectif est ici d’adapter la méthode présentée au paragraphe précédent sur le cas du Grand Port Maritime de </w:t>
      </w:r>
      <w:r w:rsidR="006B1AAE">
        <w:t>Guyane</w:t>
      </w:r>
      <w:r>
        <w:t>. Au regard des interdépendances entre le GPM</w:t>
      </w:r>
      <w:r w:rsidR="006B1AAE">
        <w:t>G</w:t>
      </w:r>
      <w:r>
        <w:t xml:space="preserve"> et son territoire environnant, il est attendu que le mandataire du groupement dispose de la compétence </w:t>
      </w:r>
      <w:r w:rsidR="009E1567">
        <w:t>d’</w:t>
      </w:r>
      <w:r>
        <w:t>ingénierie territoriale.</w:t>
      </w:r>
    </w:p>
    <w:p w14:paraId="66139C14" w14:textId="77777777" w:rsidR="00914D25" w:rsidRDefault="00914D25" w:rsidP="00E45AE5">
      <w:pPr>
        <w:pStyle w:val="Paragraphedeliste"/>
        <w:numPr>
          <w:ilvl w:val="0"/>
          <w:numId w:val="31"/>
        </w:numPr>
      </w:pPr>
      <w:r>
        <w:t>Au-delà des étapes décrites ci-dessus, la présente étude est avant tout guidée par les impondérables méthodologiques suivants qui constituent des items transversaux du cahier des charges à prendre en compte dans toutes les étapes de l’étude :</w:t>
      </w:r>
    </w:p>
    <w:p w14:paraId="1957A208" w14:textId="14B42E2A" w:rsidR="00914D25" w:rsidRDefault="006B1AAE" w:rsidP="00E45AE5">
      <w:pPr>
        <w:pStyle w:val="Paragraphedeliste"/>
        <w:numPr>
          <w:ilvl w:val="0"/>
          <w:numId w:val="32"/>
        </w:numPr>
      </w:pPr>
      <w:r>
        <w:t>Spatialisation</w:t>
      </w:r>
      <w:r w:rsidR="00914D25">
        <w:t xml:space="preserve"> des données, enjeux et solutions ;</w:t>
      </w:r>
    </w:p>
    <w:p w14:paraId="51EFBC8F" w14:textId="50BBFAC7" w:rsidR="00914D25" w:rsidRDefault="006B1AAE" w:rsidP="00E45AE5">
      <w:pPr>
        <w:pStyle w:val="Paragraphedeliste"/>
        <w:numPr>
          <w:ilvl w:val="0"/>
          <w:numId w:val="32"/>
        </w:numPr>
      </w:pPr>
      <w:r>
        <w:t>Considération</w:t>
      </w:r>
      <w:r w:rsidR="00914D25">
        <w:t xml:space="preserve"> des effets en chaîne et mesures combinées en conséquence (notamment les impacts de l’indisponibilité du port sur le fonctionnement du territoire et inversement les impacts de la perturbation du territoire sur le fonctionnement du port) ;</w:t>
      </w:r>
    </w:p>
    <w:p w14:paraId="50F5F86E" w14:textId="075EC278" w:rsidR="00C53BAA" w:rsidRDefault="00C53BAA" w:rsidP="00E45AE5">
      <w:pPr>
        <w:pStyle w:val="Paragraphedeliste"/>
        <w:numPr>
          <w:ilvl w:val="0"/>
          <w:numId w:val="32"/>
        </w:numPr>
      </w:pPr>
      <w:r>
        <w:t>Utilisation de la TRACC comme cadre de référence ;</w:t>
      </w:r>
    </w:p>
    <w:p w14:paraId="7521A7DE" w14:textId="6D257492" w:rsidR="00914D25" w:rsidRDefault="006B1AAE" w:rsidP="00E45AE5">
      <w:pPr>
        <w:pStyle w:val="Paragraphedeliste"/>
        <w:numPr>
          <w:ilvl w:val="0"/>
          <w:numId w:val="32"/>
        </w:numPr>
      </w:pPr>
      <w:r>
        <w:t>Prise</w:t>
      </w:r>
      <w:r w:rsidR="00914D25">
        <w:t xml:space="preserve"> en compte des scenarii d’évolution du climat du GIEC ;</w:t>
      </w:r>
    </w:p>
    <w:p w14:paraId="2731DB66" w14:textId="115036CB" w:rsidR="00914D25" w:rsidRDefault="006B1AAE" w:rsidP="00E45AE5">
      <w:pPr>
        <w:pStyle w:val="Paragraphedeliste"/>
        <w:numPr>
          <w:ilvl w:val="0"/>
          <w:numId w:val="32"/>
        </w:numPr>
      </w:pPr>
      <w:r>
        <w:t>Prise</w:t>
      </w:r>
      <w:r w:rsidR="00914D25">
        <w:t xml:space="preserve"> en compte des incertitudes sur les différents paramètres de l’étude dans les analyses réalisées et prise en compte dans les critères d’aide à la décision pour le choix des mesures d’adaptation ;</w:t>
      </w:r>
    </w:p>
    <w:p w14:paraId="3EBA9353" w14:textId="7A4BE436" w:rsidR="00914D25" w:rsidRDefault="006B1AAE" w:rsidP="00E45AE5">
      <w:pPr>
        <w:pStyle w:val="Paragraphedeliste"/>
        <w:numPr>
          <w:ilvl w:val="0"/>
          <w:numId w:val="32"/>
        </w:numPr>
      </w:pPr>
      <w:r>
        <w:t>Prise</w:t>
      </w:r>
      <w:r w:rsidR="00914D25">
        <w:t xml:space="preserve"> en compte de la norme NF EN ISO 14091 relative à l’adaptation aux changements climatiques – ligne directrice sur la vulnérabilité, les impacts et l’évaluation des risques ;</w:t>
      </w:r>
    </w:p>
    <w:p w14:paraId="48F1FF6D" w14:textId="77777777" w:rsidR="00C53BAA" w:rsidRDefault="00C53BAA" w:rsidP="00E45AE5">
      <w:pPr>
        <w:pStyle w:val="Paragraphedeliste"/>
        <w:numPr>
          <w:ilvl w:val="0"/>
          <w:numId w:val="32"/>
        </w:numPr>
      </w:pPr>
      <w:r w:rsidRPr="00C53BAA">
        <w:t>Intégration des orientations techniques européennes portant sur la prise en compte du changement climatique (atténuation et adaptation) dans les projets d'infrastructure, conformément à la Communication de la Commission européenne 2021/C 373/01, applicable à la période 2021-2027</w:t>
      </w:r>
      <w:r>
        <w:t xml:space="preserve"> ; </w:t>
      </w:r>
    </w:p>
    <w:p w14:paraId="1AB5199E" w14:textId="1C4973F3" w:rsidR="00914D25" w:rsidRDefault="006B1AAE" w:rsidP="00E45AE5">
      <w:pPr>
        <w:pStyle w:val="Paragraphedeliste"/>
        <w:numPr>
          <w:ilvl w:val="0"/>
          <w:numId w:val="32"/>
        </w:numPr>
      </w:pPr>
      <w:r>
        <w:t>Réalisation</w:t>
      </w:r>
      <w:r w:rsidR="00914D25">
        <w:t xml:space="preserve"> d’analyse coûts/bénéfices pour évaluer les mesures à mettre en œuvre en termes de coûts d’investissement et de fonctionnement et en termes de bénéfices attendus, tels que les dommages évités ou la réduction des périodes d’indisponibilité ;</w:t>
      </w:r>
    </w:p>
    <w:p w14:paraId="376556D2" w14:textId="77777777" w:rsidR="00FE1C9E" w:rsidRDefault="00FE1C9E" w:rsidP="00FE1C9E"/>
    <w:p w14:paraId="0B1B6F1C" w14:textId="7B3ED999" w:rsidR="00914D25" w:rsidRDefault="0039031F" w:rsidP="00914D25">
      <w:pPr>
        <w:rPr>
          <w:highlight w:val="yellow"/>
        </w:rPr>
      </w:pPr>
      <w:r>
        <w:tab/>
      </w:r>
      <w:r w:rsidR="00914D25">
        <w:t>S’agissant d’une démarche exploratoire, le groupement est invité à s’approprier la méthodologie proposée dans le CCTP dans la mesure où cela lui permettra de produire les livrables attendus.</w:t>
      </w:r>
    </w:p>
    <w:p w14:paraId="5EC82132" w14:textId="77777777" w:rsidR="0039031F" w:rsidRDefault="0039031F" w:rsidP="00EF39BE"/>
    <w:p w14:paraId="516C6225" w14:textId="3EAE5D78" w:rsidR="00C97DD6" w:rsidRDefault="0039031F" w:rsidP="00EF39BE">
      <w:pPr>
        <w:rPr>
          <w:highlight w:val="yellow"/>
        </w:rPr>
      </w:pPr>
      <w:r>
        <w:tab/>
      </w:r>
      <w:r w:rsidR="00C97DD6">
        <w:t>Ces demandes sont décrites dans le présent cahier des charges.</w:t>
      </w:r>
    </w:p>
    <w:p w14:paraId="308077A9" w14:textId="240AB73D" w:rsidR="004245B5" w:rsidRDefault="00F476E5" w:rsidP="00EF39BE">
      <w:pPr>
        <w:pStyle w:val="Titre2"/>
        <w:rPr>
          <w:rFonts w:cs="Arial"/>
        </w:rPr>
      </w:pPr>
      <w:bookmarkStart w:id="13" w:name="_Ref228957149"/>
      <w:bookmarkStart w:id="14" w:name="_Toc235518166"/>
      <w:r>
        <w:rPr>
          <w:rFonts w:cs="Arial"/>
        </w:rPr>
        <w:t>Gouvernance et organisation</w:t>
      </w:r>
      <w:bookmarkEnd w:id="13"/>
      <w:bookmarkEnd w:id="14"/>
    </w:p>
    <w:p w14:paraId="31935FA0" w14:textId="15CADC0F" w:rsidR="004C51D4" w:rsidRDefault="00305E97" w:rsidP="00EF39BE">
      <w:r>
        <w:tab/>
      </w:r>
      <w:r w:rsidR="004C51D4">
        <w:t>Les ateliers ont révélé la diversité des parties prenantes impliquées dans l’adaptation des infrastructures du Grand Port et dans sa résilience face au changement climatique. Les différents acteurs doivent être intégrés au bon niveau lors des travaux menant à l’élaboration d’une stratégie de résilience à horizon 2050.</w:t>
      </w:r>
    </w:p>
    <w:p w14:paraId="0A513946" w14:textId="77777777" w:rsidR="004C51D4" w:rsidRDefault="004C51D4" w:rsidP="00EF39BE">
      <w:pPr>
        <w:rPr>
          <w:rFonts w:ascii="Times New Roman" w:eastAsia="Times New Roman" w:hAnsi="Times New Roman" w:cs="Times New Roman"/>
          <w:sz w:val="24"/>
          <w:szCs w:val="24"/>
        </w:rPr>
      </w:pPr>
    </w:p>
    <w:p w14:paraId="690EE3BB" w14:textId="2268F5A1" w:rsidR="004C51D4" w:rsidRDefault="00305E97" w:rsidP="00EF39BE">
      <w:r>
        <w:tab/>
      </w:r>
      <w:r w:rsidR="004C51D4">
        <w:t xml:space="preserve">En complément de l’implication de ces parties prenantes spécifiques, une communication large est nécessaire pour sensibiliser un public plus vaste à la démarche de résilience climatique. Au-delà de l’image positive qu’elle peut générer, cette communication permet également de recueillir des avis spontanés pouvant enrichir les réflexions du Grand Port. Divers moyens peuvent être mobilisés pour </w:t>
      </w:r>
      <w:r w:rsidR="004C51D4">
        <w:lastRenderedPageBreak/>
        <w:t>cela, notamment les sites internet, les réseaux sociaux, la presse locale et des conférences accessibles au grand public.</w:t>
      </w:r>
    </w:p>
    <w:p w14:paraId="7B436AB3" w14:textId="77777777" w:rsidR="004C51D4" w:rsidRDefault="004C51D4" w:rsidP="00EF39BE"/>
    <w:p w14:paraId="64615933" w14:textId="2FA3F496" w:rsidR="004C51D4" w:rsidRDefault="00305E97" w:rsidP="00EF39BE">
      <w:r>
        <w:tab/>
      </w:r>
      <w:r w:rsidR="004C51D4">
        <w:t>Afin d’encadrer au mieux les travaux futurs et d’aboutir à un document stratégique fixant les objectifs de résilience au changement climatique et les trajectoires à suivre, une gouvernance à quatre instances semblait pertinente :</w:t>
      </w:r>
    </w:p>
    <w:p w14:paraId="05A7E341" w14:textId="77777777" w:rsidR="004C51D4" w:rsidRDefault="004C51D4" w:rsidP="00E45AE5">
      <w:pPr>
        <w:pStyle w:val="Puce2"/>
        <w:numPr>
          <w:ilvl w:val="0"/>
          <w:numId w:val="25"/>
        </w:numPr>
      </w:pPr>
      <w:r>
        <w:t xml:space="preserve">L’équipe de </w:t>
      </w:r>
      <w:r>
        <w:rPr>
          <w:b/>
          <w:bCs/>
        </w:rPr>
        <w:t>pilotage stratégique</w:t>
      </w:r>
      <w:r>
        <w:t> : Elle valide la stratégie, pilote le projet et l’anime. Elle est idéalement constituée d’un chef de projet membre du directoire du Grand port, éventuellement accompagné d’un ou deux autres agents</w:t>
      </w:r>
    </w:p>
    <w:p w14:paraId="14C5F368" w14:textId="77777777" w:rsidR="004C51D4" w:rsidRDefault="004C51D4" w:rsidP="00E45AE5">
      <w:pPr>
        <w:pStyle w:val="Puce2"/>
        <w:numPr>
          <w:ilvl w:val="0"/>
          <w:numId w:val="25"/>
        </w:numPr>
      </w:pPr>
      <w:r>
        <w:t xml:space="preserve">Le </w:t>
      </w:r>
      <w:r>
        <w:rPr>
          <w:b/>
          <w:bCs/>
        </w:rPr>
        <w:t>comité technique</w:t>
      </w:r>
      <w:r>
        <w:t xml:space="preserve"> accompagné des équipes ressources</w:t>
      </w:r>
    </w:p>
    <w:p w14:paraId="09179881" w14:textId="565A5931" w:rsidR="004C51D4" w:rsidRDefault="004C51D4" w:rsidP="00E45AE5">
      <w:pPr>
        <w:pStyle w:val="Puce2"/>
        <w:numPr>
          <w:ilvl w:val="0"/>
          <w:numId w:val="25"/>
        </w:numPr>
      </w:pPr>
      <w:r>
        <w:t xml:space="preserve">Le </w:t>
      </w:r>
      <w:r>
        <w:rPr>
          <w:b/>
          <w:bCs/>
        </w:rPr>
        <w:t>comité de pilotage stratégique</w:t>
      </w:r>
      <w:r>
        <w:t> : Il donne son avis sur la stratégie. Avec un pouvoir décisionnaire, il s’assure de la cohérence globale de l’étude, et valide les grandes orientations lors des principaux jalons de l’étude. Les membres, outre le chef de projet et les représentants de l’AMO et du bureau d’études, le cas échéant, sont issus directement du directoire du Grand port et de ses propres instances de gouvernance. Dans un souci d’efficacité des débats et des prises de décision, il convient de veiller à limiter le nombre de membres de cette instance. Les mairies de Rémire</w:t>
      </w:r>
      <w:r w:rsidR="00DC191C">
        <w:t>,</w:t>
      </w:r>
      <w:r>
        <w:t xml:space="preserve"> Montjoly et de Kourou y ont aussi été associées car elles ont engagé une démarche d’adaptation au changement climatique. Il a également été élargi aux gestionnaires financiers comme la CTG (FEDER) et l’État.</w:t>
      </w:r>
    </w:p>
    <w:p w14:paraId="6942376C" w14:textId="57749E1D" w:rsidR="004C51D4" w:rsidRDefault="004C51D4" w:rsidP="00E45AE5">
      <w:pPr>
        <w:pStyle w:val="Paragraphedeliste"/>
        <w:numPr>
          <w:ilvl w:val="0"/>
          <w:numId w:val="25"/>
        </w:numPr>
      </w:pPr>
      <w:r>
        <w:t xml:space="preserve">Le cercle de </w:t>
      </w:r>
      <w:r>
        <w:rPr>
          <w:b/>
          <w:bCs/>
        </w:rPr>
        <w:t>concertation / d’information</w:t>
      </w:r>
      <w:r>
        <w:t> : Il s’agit des parties prenantes consultatives nécessaires à engager dans la démarche de résilience. Il peut être force de proposition et lieu de prospective, mais n’interfère pas dans le déroulé des travaux. Un point semestriel</w:t>
      </w:r>
      <w:r w:rsidR="00DC191C">
        <w:t>,</w:t>
      </w:r>
      <w:r>
        <w:t xml:space="preserve"> </w:t>
      </w:r>
      <w:r w:rsidRPr="00591AB0">
        <w:t>voir</w:t>
      </w:r>
      <w:r w:rsidR="00DC191C" w:rsidRPr="00591AB0">
        <w:t>e</w:t>
      </w:r>
      <w:r>
        <w:t xml:space="preserve"> annuel est suffisant pour les réunions. Les acteurs, comme le Medef, y sont associés pour faire connaître la démarche.</w:t>
      </w:r>
    </w:p>
    <w:p w14:paraId="2C550AAB" w14:textId="77777777" w:rsidR="004C51D4" w:rsidRDefault="004C51D4" w:rsidP="00EF39BE">
      <w:pPr>
        <w:pStyle w:val="Puce2"/>
        <w:numPr>
          <w:ilvl w:val="0"/>
          <w:numId w:val="0"/>
        </w:numPr>
        <w:ind w:left="1037"/>
      </w:pPr>
    </w:p>
    <w:p w14:paraId="55871331" w14:textId="77777777" w:rsidR="004C51D4" w:rsidRDefault="004C51D4" w:rsidP="00EF39BE">
      <w:pPr>
        <w:pStyle w:val="Puce2"/>
        <w:numPr>
          <w:ilvl w:val="0"/>
          <w:numId w:val="0"/>
        </w:numPr>
      </w:pPr>
    </w:p>
    <w:p w14:paraId="39F82D2C" w14:textId="77777777" w:rsidR="004C51D4" w:rsidRDefault="004C51D4" w:rsidP="00EF39BE">
      <w:pPr>
        <w:pStyle w:val="Puce2"/>
        <w:numPr>
          <w:ilvl w:val="0"/>
          <w:numId w:val="0"/>
        </w:numPr>
      </w:pPr>
    </w:p>
    <w:p w14:paraId="00E9B9D2" w14:textId="2559D7AE" w:rsidR="004C51D4" w:rsidRDefault="004C51D4" w:rsidP="00EF39BE">
      <w:r>
        <w:rPr>
          <w:noProof/>
        </w:rPr>
        <w:lastRenderedPageBreak/>
        <mc:AlternateContent>
          <mc:Choice Requires="wps">
            <w:drawing>
              <wp:anchor distT="3175" distB="3175" distL="3175" distR="3175" simplePos="0" relativeHeight="251714560" behindDoc="0" locked="0" layoutInCell="1" allowOverlap="1" wp14:anchorId="6642AEF2" wp14:editId="273E67C3">
                <wp:simplePos x="0" y="0"/>
                <wp:positionH relativeFrom="column">
                  <wp:posOffset>2273935</wp:posOffset>
                </wp:positionH>
                <wp:positionV relativeFrom="paragraph">
                  <wp:posOffset>3562985</wp:posOffset>
                </wp:positionV>
                <wp:extent cx="978535" cy="198120"/>
                <wp:effectExtent l="0" t="0" r="0" b="0"/>
                <wp:wrapNone/>
                <wp:docPr id="42" name="Forme29"/>
                <wp:cNvGraphicFramePr/>
                <a:graphic xmlns:a="http://schemas.openxmlformats.org/drawingml/2006/main">
                  <a:graphicData uri="http://schemas.microsoft.com/office/word/2010/wordprocessingShape">
                    <wps:wsp>
                      <wps:cNvSpPr/>
                      <wps:spPr bwMode="auto">
                        <a:xfrm>
                          <a:off x="0" y="0"/>
                          <a:ext cx="978535" cy="198120"/>
                        </a:xfrm>
                        <a:prstGeom prst="rect">
                          <a:avLst/>
                        </a:prstGeom>
                        <a:solidFill>
                          <a:srgbClr val="FFFFFF"/>
                        </a:solidFill>
                        <a:ln w="6350">
                          <a:solidFill>
                            <a:srgbClr val="000000"/>
                          </a:solidFill>
                          <a:round/>
                        </a:ln>
                      </wps:spPr>
                      <wps:txbx>
                        <w:txbxContent>
                          <w:p w14:paraId="6F4FAD23" w14:textId="77777777" w:rsidR="00716D4E" w:rsidRDefault="00716D4E" w:rsidP="004C51D4">
                            <w:pPr>
                              <w:pStyle w:val="Contenudecadre"/>
                              <w:rPr>
                                <w:sz w:val="14"/>
                                <w:szCs w:val="14"/>
                              </w:rPr>
                            </w:pPr>
                            <w:r>
                              <w:rPr>
                                <w:sz w:val="14"/>
                                <w:szCs w:val="14"/>
                              </w:rPr>
                              <w:t>Pilotage stratégique</w:t>
                            </w:r>
                          </w:p>
                        </w:txbxContent>
                      </wps:txbx>
                      <wps:bodyPr wrap="square" lIns="91440" tIns="45720" rIns="91440" bIns="45720" upright="1"/>
                    </wps:wsp>
                  </a:graphicData>
                </a:graphic>
              </wp:anchor>
            </w:drawing>
          </mc:Choice>
          <mc:Fallback>
            <w:pict>
              <v:rect w14:anchorId="6642AEF2" id="Forme29" o:spid="_x0000_s1031" style="position:absolute;left:0;text-align:left;margin-left:179.05pt;margin-top:280.55pt;width:77.05pt;height:15.6pt;z-index:251714560;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" strokeweight=".5pt">
                <v:stroke joinstyle="round"/>
                <v:textbox>
                  <w:txbxContent>
                    <w:p w14:paraId="6F4FAD23" w14:textId="77777777" w:rsidR="00716D4E" w:rsidRDefault="00716D4E" w:rsidP="004C51D4">
                      <w:pPr>
                        <w:pStyle w:val="Contenudecadre"/>
                        <w:rPr>
                          <w:sz w:val="14"/>
                          <w:szCs w:val="14"/>
                        </w:rPr>
                      </w:pPr>
                      <w:r>
                        <w:rPr>
                          <w:sz w:val="14"/>
                          <w:szCs w:val="14"/>
                        </w:rPr>
                        <w:t>Pilotage stratégique</w:t>
                      </w:r>
                    </w:p>
                  </w:txbxContent>
                </v:textbox>
              </v:rect>
            </w:pict>
          </mc:Fallback>
        </mc:AlternateContent>
      </w:r>
      <w:r>
        <w:rPr>
          <w:noProof/>
        </w:rPr>
        <mc:AlternateContent>
          <mc:Choice Requires="wps">
            <w:drawing>
              <wp:anchor distT="3175" distB="3175" distL="3175" distR="3175" simplePos="0" relativeHeight="251715584" behindDoc="0" locked="0" layoutInCell="1" allowOverlap="1" wp14:anchorId="201F6242" wp14:editId="6F093D37">
                <wp:simplePos x="0" y="0"/>
                <wp:positionH relativeFrom="column">
                  <wp:posOffset>2856865</wp:posOffset>
                </wp:positionH>
                <wp:positionV relativeFrom="paragraph">
                  <wp:posOffset>5172710</wp:posOffset>
                </wp:positionV>
                <wp:extent cx="1254760" cy="198120"/>
                <wp:effectExtent l="0" t="0" r="0" b="0"/>
                <wp:wrapNone/>
                <wp:docPr id="43" name="Forme27"/>
                <wp:cNvGraphicFramePr/>
                <a:graphic xmlns:a="http://schemas.openxmlformats.org/drawingml/2006/main">
                  <a:graphicData uri="http://schemas.microsoft.com/office/word/2010/wordprocessingShape">
                    <wps:wsp>
                      <wps:cNvSpPr/>
                      <wps:spPr bwMode="auto">
                        <a:xfrm>
                          <a:off x="0" y="0"/>
                          <a:ext cx="1254760" cy="198120"/>
                        </a:xfrm>
                        <a:prstGeom prst="rect">
                          <a:avLst/>
                        </a:prstGeom>
                        <a:solidFill>
                          <a:srgbClr val="FFFFFF"/>
                        </a:solidFill>
                        <a:ln w="6350">
                          <a:solidFill>
                            <a:srgbClr val="000000"/>
                          </a:solidFill>
                          <a:round/>
                        </a:ln>
                      </wps:spPr>
                      <wps:txbx>
                        <w:txbxContent>
                          <w:p w14:paraId="5EB1FBD1" w14:textId="77777777" w:rsidR="00716D4E" w:rsidRDefault="00716D4E" w:rsidP="004C51D4">
                            <w:pPr>
                              <w:pStyle w:val="Contenudecadre"/>
                              <w:rPr>
                                <w:sz w:val="14"/>
                                <w:szCs w:val="14"/>
                              </w:rPr>
                            </w:pPr>
                            <w:r>
                              <w:rPr>
                                <w:sz w:val="14"/>
                                <w:szCs w:val="14"/>
                              </w:rPr>
                              <w:t>Concertation / information</w:t>
                            </w:r>
                          </w:p>
                        </w:txbxContent>
                      </wps:txbx>
                      <wps:bodyPr wrap="square" lIns="91440" tIns="45720" rIns="91440" bIns="45720" upright="1"/>
                    </wps:wsp>
                  </a:graphicData>
                </a:graphic>
              </wp:anchor>
            </w:drawing>
          </mc:Choice>
          <mc:Fallback>
            <w:pict>
              <v:rect w14:anchorId="201F6242" id="Forme27" o:spid="_x0000_s1032" style="position:absolute;left:0;text-align:left;margin-left:224.95pt;margin-top:407.3pt;width:98.8pt;height:15.6pt;z-index:251715584;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" strokeweight=".5pt">
                <v:stroke joinstyle="round"/>
                <v:textbox>
                  <w:txbxContent>
                    <w:p w14:paraId="5EB1FBD1" w14:textId="77777777" w:rsidR="00716D4E" w:rsidRDefault="00716D4E" w:rsidP="004C51D4">
                      <w:pPr>
                        <w:pStyle w:val="Contenudecadre"/>
                        <w:rPr>
                          <w:sz w:val="14"/>
                          <w:szCs w:val="14"/>
                        </w:rPr>
                      </w:pPr>
                      <w:r>
                        <w:rPr>
                          <w:sz w:val="14"/>
                          <w:szCs w:val="14"/>
                        </w:rPr>
                        <w:t>Concertation / information</w:t>
                      </w:r>
                    </w:p>
                  </w:txbxContent>
                </v:textbox>
              </v:rect>
            </w:pict>
          </mc:Fallback>
        </mc:AlternateContent>
      </w:r>
      <w:r>
        <w:rPr>
          <w:noProof/>
        </w:rPr>
        <mc:AlternateContent>
          <mc:Choice Requires="wps">
            <w:drawing>
              <wp:anchor distT="3175" distB="3175" distL="3175" distR="3175" simplePos="0" relativeHeight="251716608" behindDoc="0" locked="0" layoutInCell="1" allowOverlap="1" wp14:anchorId="507E4C82" wp14:editId="1849F5DD">
                <wp:simplePos x="0" y="0"/>
                <wp:positionH relativeFrom="column">
                  <wp:posOffset>2758440</wp:posOffset>
                </wp:positionH>
                <wp:positionV relativeFrom="paragraph">
                  <wp:posOffset>4376420</wp:posOffset>
                </wp:positionV>
                <wp:extent cx="1438275" cy="209550"/>
                <wp:effectExtent l="0" t="0" r="0" b="0"/>
                <wp:wrapNone/>
                <wp:docPr id="44" name="Forme28"/>
                <wp:cNvGraphicFramePr/>
                <a:graphic xmlns:a="http://schemas.openxmlformats.org/drawingml/2006/main">
                  <a:graphicData uri="http://schemas.microsoft.com/office/word/2010/wordprocessingShape">
                    <wps:wsp>
                      <wps:cNvSpPr/>
                      <wps:spPr bwMode="auto">
                        <a:xfrm>
                          <a:off x="0" y="0"/>
                          <a:ext cx="1438275" cy="209550"/>
                        </a:xfrm>
                        <a:prstGeom prst="rect">
                          <a:avLst/>
                        </a:prstGeom>
                        <a:solidFill>
                          <a:srgbClr val="FFFFFF"/>
                        </a:solidFill>
                        <a:ln w="6350">
                          <a:solidFill>
                            <a:srgbClr val="000000"/>
                          </a:solidFill>
                          <a:round/>
                        </a:ln>
                      </wps:spPr>
                      <wps:txbx>
                        <w:txbxContent>
                          <w:p w14:paraId="6D16748A" w14:textId="77777777" w:rsidR="00716D4E" w:rsidRDefault="00716D4E" w:rsidP="004C51D4">
                            <w:pPr>
                              <w:pStyle w:val="Contenudecadre"/>
                              <w:rPr>
                                <w:sz w:val="14"/>
                                <w:szCs w:val="14"/>
                              </w:rPr>
                            </w:pPr>
                            <w:r>
                              <w:rPr>
                                <w:sz w:val="14"/>
                                <w:szCs w:val="14"/>
                              </w:rPr>
                              <w:t>Comité de pilotage stratégique</w:t>
                            </w:r>
                          </w:p>
                        </w:txbxContent>
                      </wps:txbx>
                      <wps:bodyPr wrap="square" lIns="91440" tIns="45720" rIns="91440" bIns="45720" upright="1"/>
                    </wps:wsp>
                  </a:graphicData>
                </a:graphic>
              </wp:anchor>
            </w:drawing>
          </mc:Choice>
          <mc:Fallback>
            <w:pict>
              <v:rect w14:anchorId="507E4C82" id="Forme28" o:spid="_x0000_s1033" style="position:absolute;left:0;text-align:left;margin-left:217.2pt;margin-top:344.6pt;width:113.25pt;height:16.5pt;z-index:251716608;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" strokeweight=".5pt">
                <v:stroke joinstyle="round"/>
                <v:textbox>
                  <w:txbxContent>
                    <w:p w14:paraId="6D16748A" w14:textId="77777777" w:rsidR="00716D4E" w:rsidRDefault="00716D4E" w:rsidP="004C51D4">
                      <w:pPr>
                        <w:pStyle w:val="Contenudecadre"/>
                        <w:rPr>
                          <w:sz w:val="14"/>
                          <w:szCs w:val="14"/>
                        </w:rPr>
                      </w:pPr>
                      <w:r>
                        <w:rPr>
                          <w:sz w:val="14"/>
                          <w:szCs w:val="14"/>
                        </w:rPr>
                        <w:t>Comité de pilotage stratégique</w:t>
                      </w:r>
                    </w:p>
                  </w:txbxContent>
                </v:textbox>
              </v:rect>
            </w:pict>
          </mc:Fallback>
        </mc:AlternateContent>
      </w:r>
      <w:r>
        <w:rPr>
          <w:noProof/>
        </w:rPr>
        <mc:AlternateContent>
          <mc:Choice Requires="wps">
            <w:drawing>
              <wp:anchor distT="0" distB="0" distL="0" distR="0" simplePos="0" relativeHeight="251722752" behindDoc="0" locked="0" layoutInCell="1" allowOverlap="1" wp14:anchorId="6869E292" wp14:editId="4125D939">
                <wp:simplePos x="0" y="0"/>
                <wp:positionH relativeFrom="column">
                  <wp:posOffset>416560</wp:posOffset>
                </wp:positionH>
                <wp:positionV relativeFrom="paragraph">
                  <wp:posOffset>1677670</wp:posOffset>
                </wp:positionV>
                <wp:extent cx="742315" cy="207645"/>
                <wp:effectExtent l="0" t="0" r="0" b="0"/>
                <wp:wrapNone/>
                <wp:docPr id="45" name="Forme35"/>
                <wp:cNvGraphicFramePr/>
                <a:graphic xmlns:a="http://schemas.openxmlformats.org/drawingml/2006/main">
                  <a:graphicData uri="http://schemas.microsoft.com/office/word/2010/wordprocessingShape">
                    <wps:wsp>
                      <wps:cNvSpPr/>
                      <wps:spPr bwMode="auto">
                        <a:xfrm>
                          <a:off x="0" y="0"/>
                          <a:ext cx="742315" cy="207645"/>
                        </a:xfrm>
                        <a:prstGeom prst="rect">
                          <a:avLst/>
                        </a:prstGeom>
                        <a:solidFill>
                          <a:srgbClr val="E6EDF7"/>
                        </a:solidFill>
                        <a:ln w="6350">
                          <a:solidFill>
                            <a:srgbClr val="000000"/>
                          </a:solidFill>
                          <a:round/>
                        </a:ln>
                      </wps:spPr>
                      <wps:txbx>
                        <w:txbxContent>
                          <w:p w14:paraId="1181B664" w14:textId="77777777" w:rsidR="00716D4E" w:rsidRDefault="00716D4E" w:rsidP="004C51D4">
                            <w:pPr>
                              <w:pStyle w:val="Contenudecadre"/>
                              <w:jc w:val="center"/>
                              <w:rPr>
                                <w:color w:val="000000" w:themeColor="text1"/>
                                <w:sz w:val="14"/>
                                <w:szCs w:val="14"/>
                              </w:rPr>
                            </w:pPr>
                            <w:r>
                              <w:rPr>
                                <w:color w:val="000000" w:themeColor="text1"/>
                                <w:sz w:val="14"/>
                                <w:szCs w:val="14"/>
                              </w:rPr>
                              <w:t>Transitaires</w:t>
                            </w:r>
                          </w:p>
                        </w:txbxContent>
                      </wps:txbx>
                      <wps:bodyPr wrap="square" lIns="91440" tIns="45720" rIns="91440" bIns="45720" upright="1"/>
                    </wps:wsp>
                  </a:graphicData>
                </a:graphic>
              </wp:anchor>
            </w:drawing>
          </mc:Choice>
          <mc:Fallback>
            <w:pict>
              <v:rect w14:anchorId="6869E292" id="Forme35" o:spid="_x0000_s1034" style="position:absolute;left:0;text-align:left;margin-left:32.8pt;margin-top:132.1pt;width:58.45pt;height:16.35pt;z-index:25172275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" fillcolor="#e6edf7" strokeweight=".5pt">
                <v:stroke joinstyle="round"/>
                <v:textbox>
                  <w:txbxContent>
                    <w:p w14:paraId="1181B664" w14:textId="77777777" w:rsidR="00716D4E" w:rsidRDefault="00716D4E" w:rsidP="004C51D4">
                      <w:pPr>
                        <w:pStyle w:val="Contenudecadre"/>
                        <w:jc w:val="center"/>
                        <w:rPr>
                          <w:color w:val="000000" w:themeColor="text1"/>
                          <w:sz w:val="14"/>
                          <w:szCs w:val="14"/>
                        </w:rPr>
                      </w:pPr>
                      <w:r>
                        <w:rPr>
                          <w:color w:val="000000" w:themeColor="text1"/>
                          <w:sz w:val="14"/>
                          <w:szCs w:val="14"/>
                        </w:rPr>
                        <w:t>Transitaires</w:t>
                      </w:r>
                    </w:p>
                  </w:txbxContent>
                </v:textbox>
              </v:rect>
            </w:pict>
          </mc:Fallback>
        </mc:AlternateContent>
      </w:r>
      <w:r>
        <w:rPr>
          <w:noProof/>
        </w:rPr>
        <mc:AlternateContent>
          <mc:Choice Requires="wps">
            <w:drawing>
              <wp:anchor distT="3175" distB="3175" distL="3175" distR="3175" simplePos="0" relativeHeight="251723776" behindDoc="0" locked="0" layoutInCell="1" allowOverlap="1" wp14:anchorId="640B45E8" wp14:editId="1F85CC32">
                <wp:simplePos x="0" y="0"/>
                <wp:positionH relativeFrom="column">
                  <wp:posOffset>2795905</wp:posOffset>
                </wp:positionH>
                <wp:positionV relativeFrom="paragraph">
                  <wp:posOffset>985520</wp:posOffset>
                </wp:positionV>
                <wp:extent cx="934720" cy="278130"/>
                <wp:effectExtent l="0" t="0" r="0" b="0"/>
                <wp:wrapNone/>
                <wp:docPr id="46" name="Forme34"/>
                <wp:cNvGraphicFramePr/>
                <a:graphic xmlns:a="http://schemas.openxmlformats.org/drawingml/2006/main">
                  <a:graphicData uri="http://schemas.microsoft.com/office/word/2010/wordprocessingShape">
                    <wps:wsp>
                      <wps:cNvSpPr/>
                      <wps:spPr bwMode="auto">
                        <a:xfrm>
                          <a:off x="0" y="0"/>
                          <a:ext cx="934720" cy="278130"/>
                        </a:xfrm>
                        <a:prstGeom prst="rect">
                          <a:avLst/>
                        </a:prstGeom>
                        <a:solidFill>
                          <a:srgbClr val="D5DCE4"/>
                        </a:solidFill>
                        <a:ln w="6350">
                          <a:solidFill>
                            <a:srgbClr val="000000"/>
                          </a:solidFill>
                          <a:round/>
                        </a:ln>
                      </wps:spPr>
                      <wps:txbx>
                        <w:txbxContent>
                          <w:p w14:paraId="5CA3A6EB" w14:textId="77777777" w:rsidR="00716D4E" w:rsidRDefault="00716D4E" w:rsidP="004C51D4">
                            <w:pPr>
                              <w:pStyle w:val="Contenudecadre"/>
                              <w:jc w:val="center"/>
                              <w:rPr>
                                <w:color w:val="000000" w:themeColor="text1"/>
                                <w:sz w:val="16"/>
                                <w:szCs w:val="16"/>
                              </w:rPr>
                            </w:pPr>
                            <w:r>
                              <w:rPr>
                                <w:color w:val="000000" w:themeColor="text1"/>
                                <w:sz w:val="16"/>
                                <w:szCs w:val="16"/>
                              </w:rPr>
                              <w:t>CTG / FEDER</w:t>
                            </w:r>
                          </w:p>
                        </w:txbxContent>
                      </wps:txbx>
                      <wps:bodyPr wrap="square" lIns="91440" tIns="45720" rIns="91440" bIns="45720" upright="1"/>
                    </wps:wsp>
                  </a:graphicData>
                </a:graphic>
              </wp:anchor>
            </w:drawing>
          </mc:Choice>
          <mc:Fallback>
            <w:pict>
              <v:rect w14:anchorId="640B45E8" id="Forme34" o:spid="_x0000_s1035" style="position:absolute;left:0;text-align:left;margin-left:220.15pt;margin-top:77.6pt;width:73.6pt;height:21.9pt;z-index:251723776;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" fillcolor="#d5dce4" strokeweight=".5pt">
                <v:stroke joinstyle="round"/>
                <v:textbox>
                  <w:txbxContent>
                    <w:p w14:paraId="5CA3A6EB" w14:textId="77777777" w:rsidR="00716D4E" w:rsidRDefault="00716D4E" w:rsidP="004C51D4">
                      <w:pPr>
                        <w:pStyle w:val="Contenudecadre"/>
                        <w:jc w:val="center"/>
                        <w:rPr>
                          <w:color w:val="000000" w:themeColor="text1"/>
                          <w:sz w:val="16"/>
                          <w:szCs w:val="16"/>
                        </w:rPr>
                      </w:pPr>
                      <w:r>
                        <w:rPr>
                          <w:color w:val="000000" w:themeColor="text1"/>
                          <w:sz w:val="16"/>
                          <w:szCs w:val="16"/>
                        </w:rPr>
                        <w:t>CTG / FEDER</w:t>
                      </w:r>
                    </w:p>
                  </w:txbxContent>
                </v:textbox>
              </v:rect>
            </w:pict>
          </mc:Fallback>
        </mc:AlternateContent>
      </w:r>
      <w:r>
        <w:rPr>
          <w:noProof/>
        </w:rPr>
        <mc:AlternateContent>
          <mc:Choice Requires="wps">
            <w:drawing>
              <wp:anchor distT="3175" distB="3175" distL="3175" distR="3175" simplePos="0" relativeHeight="251724800" behindDoc="0" locked="0" layoutInCell="1" allowOverlap="1" wp14:anchorId="6AF757C1" wp14:editId="2DEE6CCB">
                <wp:simplePos x="0" y="0"/>
                <wp:positionH relativeFrom="column">
                  <wp:posOffset>1707515</wp:posOffset>
                </wp:positionH>
                <wp:positionV relativeFrom="paragraph">
                  <wp:posOffset>1331595</wp:posOffset>
                </wp:positionV>
                <wp:extent cx="1088390" cy="325755"/>
                <wp:effectExtent l="0" t="0" r="0" b="0"/>
                <wp:wrapNone/>
                <wp:docPr id="47" name="Forme33"/>
                <wp:cNvGraphicFramePr/>
                <a:graphic xmlns:a="http://schemas.openxmlformats.org/drawingml/2006/main">
                  <a:graphicData uri="http://schemas.microsoft.com/office/word/2010/wordprocessingShape">
                    <wps:wsp>
                      <wps:cNvSpPr/>
                      <wps:spPr bwMode="auto">
                        <a:xfrm>
                          <a:off x="0" y="0"/>
                          <a:ext cx="1088390" cy="325755"/>
                        </a:xfrm>
                        <a:prstGeom prst="rect">
                          <a:avLst/>
                        </a:prstGeom>
                        <a:solidFill>
                          <a:srgbClr val="D5DCE4"/>
                        </a:solidFill>
                        <a:ln w="6350">
                          <a:solidFill>
                            <a:srgbClr val="000000"/>
                          </a:solidFill>
                          <a:round/>
                        </a:ln>
                      </wps:spPr>
                      <wps:txbx>
                        <w:txbxContent>
                          <w:p w14:paraId="0AF074AF" w14:textId="77777777" w:rsidR="00716D4E" w:rsidRDefault="00716D4E" w:rsidP="004C51D4">
                            <w:pPr>
                              <w:pStyle w:val="Contenudecadre"/>
                              <w:jc w:val="center"/>
                              <w:rPr>
                                <w:color w:val="000000" w:themeColor="text1"/>
                                <w:sz w:val="18"/>
                                <w:szCs w:val="18"/>
                              </w:rPr>
                            </w:pPr>
                            <w:r>
                              <w:rPr>
                                <w:color w:val="000000" w:themeColor="text1"/>
                                <w:sz w:val="18"/>
                                <w:szCs w:val="18"/>
                              </w:rPr>
                              <w:t>CD</w:t>
                            </w:r>
                          </w:p>
                          <w:p w14:paraId="45B90942" w14:textId="77777777" w:rsidR="00716D4E" w:rsidRDefault="00716D4E" w:rsidP="004C51D4">
                            <w:pPr>
                              <w:pStyle w:val="Contenudecadre"/>
                              <w:jc w:val="center"/>
                              <w:rPr>
                                <w:color w:val="000000" w:themeColor="text1"/>
                                <w:sz w:val="14"/>
                                <w:szCs w:val="14"/>
                              </w:rPr>
                            </w:pPr>
                            <w:r>
                              <w:rPr>
                                <w:color w:val="000000" w:themeColor="text1"/>
                                <w:sz w:val="14"/>
                                <w:szCs w:val="14"/>
                              </w:rPr>
                              <w:t>dont CCDS et CACL</w:t>
                            </w:r>
                          </w:p>
                        </w:txbxContent>
                      </wps:txbx>
                      <wps:bodyPr wrap="square" lIns="91440" tIns="45720" rIns="91440" bIns="45720" upright="1"/>
                    </wps:wsp>
                  </a:graphicData>
                </a:graphic>
              </wp:anchor>
            </w:drawing>
          </mc:Choice>
          <mc:Fallback>
            <w:pict>
              <v:rect w14:anchorId="6AF757C1" id="Forme33" o:spid="_x0000_s1036" style="position:absolute;left:0;text-align:left;margin-left:134.45pt;margin-top:104.85pt;width:85.7pt;height:25.65pt;z-index:251724800;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" fillcolor="#d5dce4" strokeweight=".5pt">
                <v:stroke joinstyle="round"/>
                <v:textbox>
                  <w:txbxContent>
                    <w:p w14:paraId="0AF074AF" w14:textId="77777777" w:rsidR="00716D4E" w:rsidRDefault="00716D4E" w:rsidP="004C51D4">
                      <w:pPr>
                        <w:pStyle w:val="Contenudecadre"/>
                        <w:jc w:val="center"/>
                        <w:rPr>
                          <w:color w:val="000000" w:themeColor="text1"/>
                          <w:sz w:val="18"/>
                          <w:szCs w:val="18"/>
                        </w:rPr>
                      </w:pPr>
                      <w:r>
                        <w:rPr>
                          <w:color w:val="000000" w:themeColor="text1"/>
                          <w:sz w:val="18"/>
                          <w:szCs w:val="18"/>
                        </w:rPr>
                        <w:t>CD</w:t>
                      </w:r>
                    </w:p>
                    <w:p w14:paraId="45B90942" w14:textId="77777777" w:rsidR="00716D4E" w:rsidRDefault="00716D4E" w:rsidP="004C51D4">
                      <w:pPr>
                        <w:pStyle w:val="Contenudecadre"/>
                        <w:jc w:val="center"/>
                        <w:rPr>
                          <w:color w:val="000000" w:themeColor="text1"/>
                          <w:sz w:val="14"/>
                          <w:szCs w:val="14"/>
                        </w:rPr>
                      </w:pPr>
                      <w:proofErr w:type="gramStart"/>
                      <w:r>
                        <w:rPr>
                          <w:color w:val="000000" w:themeColor="text1"/>
                          <w:sz w:val="14"/>
                          <w:szCs w:val="14"/>
                        </w:rPr>
                        <w:t>dont</w:t>
                      </w:r>
                      <w:proofErr w:type="gramEnd"/>
                      <w:r>
                        <w:rPr>
                          <w:color w:val="000000" w:themeColor="text1"/>
                          <w:sz w:val="14"/>
                          <w:szCs w:val="14"/>
                        </w:rPr>
                        <w:t xml:space="preserve"> CCDS et CACL</w:t>
                      </w:r>
                    </w:p>
                  </w:txbxContent>
                </v:textbox>
              </v:rect>
            </w:pict>
          </mc:Fallback>
        </mc:AlternateContent>
      </w:r>
      <w:r>
        <w:rPr>
          <w:noProof/>
        </w:rPr>
        <mc:AlternateContent>
          <mc:Choice Requires="wps">
            <w:drawing>
              <wp:anchor distT="3175" distB="3175" distL="3175" distR="3175" simplePos="0" relativeHeight="251725824" behindDoc="0" locked="0" layoutInCell="1" allowOverlap="1" wp14:anchorId="2ED06DF5" wp14:editId="0D170B0D">
                <wp:simplePos x="0" y="0"/>
                <wp:positionH relativeFrom="column">
                  <wp:posOffset>3101975</wp:posOffset>
                </wp:positionH>
                <wp:positionV relativeFrom="paragraph">
                  <wp:posOffset>2792095</wp:posOffset>
                </wp:positionV>
                <wp:extent cx="949960" cy="441325"/>
                <wp:effectExtent l="0" t="0" r="0" b="0"/>
                <wp:wrapNone/>
                <wp:docPr id="48" name="Forme32"/>
                <wp:cNvGraphicFramePr/>
                <a:graphic xmlns:a="http://schemas.openxmlformats.org/drawingml/2006/main">
                  <a:graphicData uri="http://schemas.microsoft.com/office/word/2010/wordprocessingShape">
                    <wps:wsp>
                      <wps:cNvSpPr/>
                      <wps:spPr bwMode="auto">
                        <a:xfrm>
                          <a:off x="0" y="0"/>
                          <a:ext cx="949960" cy="441325"/>
                        </a:xfrm>
                        <a:prstGeom prst="rect">
                          <a:avLst/>
                        </a:prstGeom>
                        <a:solidFill>
                          <a:srgbClr val="CAC8ED"/>
                        </a:solidFill>
                        <a:ln w="6350">
                          <a:solidFill>
                            <a:srgbClr val="000000"/>
                          </a:solidFill>
                          <a:round/>
                        </a:ln>
                      </wps:spPr>
                      <wps:txbx>
                        <w:txbxContent>
                          <w:p w14:paraId="62D18473" w14:textId="77777777" w:rsidR="00716D4E" w:rsidRDefault="00716D4E" w:rsidP="004C51D4">
                            <w:pPr>
                              <w:pStyle w:val="Contenudecadre"/>
                              <w:jc w:val="center"/>
                              <w:rPr>
                                <w:color w:val="000000" w:themeColor="text1"/>
                                <w:sz w:val="13"/>
                                <w:szCs w:val="13"/>
                              </w:rPr>
                            </w:pPr>
                            <w:r>
                              <w:rPr>
                                <w:color w:val="000000" w:themeColor="text1"/>
                                <w:sz w:val="13"/>
                                <w:szCs w:val="13"/>
                              </w:rPr>
                              <w:t>Commissions</w:t>
                            </w:r>
                          </w:p>
                          <w:p w14:paraId="1AD323C5" w14:textId="77777777" w:rsidR="00716D4E" w:rsidRDefault="00716D4E" w:rsidP="004C51D4">
                            <w:pPr>
                              <w:pStyle w:val="Contenudecadre"/>
                              <w:jc w:val="center"/>
                              <w:rPr>
                                <w:color w:val="000000" w:themeColor="text1"/>
                                <w:sz w:val="13"/>
                                <w:szCs w:val="13"/>
                              </w:rPr>
                            </w:pPr>
                            <w:r>
                              <w:rPr>
                                <w:color w:val="000000" w:themeColor="text1"/>
                                <w:sz w:val="13"/>
                                <w:szCs w:val="13"/>
                              </w:rPr>
                              <w:t>gouvernementales</w:t>
                            </w:r>
                          </w:p>
                          <w:p w14:paraId="310FF6F0" w14:textId="77777777" w:rsidR="00716D4E" w:rsidRDefault="00716D4E" w:rsidP="004C51D4">
                            <w:pPr>
                              <w:pStyle w:val="Contenudecadre"/>
                              <w:tabs>
                                <w:tab w:val="center" w:pos="723"/>
                              </w:tabs>
                              <w:jc w:val="center"/>
                              <w:rPr>
                                <w:color w:val="000000" w:themeColor="text1"/>
                                <w:sz w:val="13"/>
                                <w:szCs w:val="13"/>
                              </w:rPr>
                            </w:pPr>
                            <w:r>
                              <w:rPr>
                                <w:color w:val="000000" w:themeColor="text1"/>
                                <w:sz w:val="13"/>
                                <w:szCs w:val="13"/>
                              </w:rPr>
                              <w:t>Institutions</w:t>
                            </w:r>
                            <w:r>
                              <w:rPr>
                                <w:color w:val="000000" w:themeColor="text1"/>
                                <w:sz w:val="13"/>
                                <w:szCs w:val="13"/>
                              </w:rPr>
                              <w:tab/>
                            </w:r>
                          </w:p>
                        </w:txbxContent>
                      </wps:txbx>
                      <wps:bodyPr wrap="square" lIns="91440" tIns="45720" rIns="91440" bIns="45720" upright="1"/>
                    </wps:wsp>
                  </a:graphicData>
                </a:graphic>
              </wp:anchor>
            </w:drawing>
          </mc:Choice>
          <mc:Fallback>
            <w:pict>
              <v:rect w14:anchorId="2ED06DF5" id="Forme32" o:spid="_x0000_s1037" style="position:absolute;left:0;text-align:left;margin-left:244.25pt;margin-top:219.85pt;width:74.8pt;height:34.75pt;z-index:251725824;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" fillcolor="#cac8ed" strokeweight=".5pt">
                <v:stroke joinstyle="round"/>
                <v:textbox>
                  <w:txbxContent>
                    <w:p w14:paraId="62D18473" w14:textId="77777777" w:rsidR="00716D4E" w:rsidRDefault="00716D4E" w:rsidP="004C51D4">
                      <w:pPr>
                        <w:pStyle w:val="Contenudecadre"/>
                        <w:jc w:val="center"/>
                        <w:rPr>
                          <w:color w:val="000000" w:themeColor="text1"/>
                          <w:sz w:val="13"/>
                          <w:szCs w:val="13"/>
                        </w:rPr>
                      </w:pPr>
                      <w:r>
                        <w:rPr>
                          <w:color w:val="000000" w:themeColor="text1"/>
                          <w:sz w:val="13"/>
                          <w:szCs w:val="13"/>
                        </w:rPr>
                        <w:t>Commissions</w:t>
                      </w:r>
                    </w:p>
                    <w:p w14:paraId="1AD323C5" w14:textId="77777777" w:rsidR="00716D4E" w:rsidRDefault="00716D4E" w:rsidP="004C51D4">
                      <w:pPr>
                        <w:pStyle w:val="Contenudecadre"/>
                        <w:jc w:val="center"/>
                        <w:rPr>
                          <w:color w:val="000000" w:themeColor="text1"/>
                          <w:sz w:val="13"/>
                          <w:szCs w:val="13"/>
                        </w:rPr>
                      </w:pPr>
                      <w:proofErr w:type="gramStart"/>
                      <w:r>
                        <w:rPr>
                          <w:color w:val="000000" w:themeColor="text1"/>
                          <w:sz w:val="13"/>
                          <w:szCs w:val="13"/>
                        </w:rPr>
                        <w:t>gouvernementales</w:t>
                      </w:r>
                      <w:proofErr w:type="gramEnd"/>
                    </w:p>
                    <w:p w14:paraId="310FF6F0" w14:textId="77777777" w:rsidR="00716D4E" w:rsidRDefault="00716D4E" w:rsidP="004C51D4">
                      <w:pPr>
                        <w:pStyle w:val="Contenudecadre"/>
                        <w:tabs>
                          <w:tab w:val="center" w:pos="723"/>
                        </w:tabs>
                        <w:jc w:val="center"/>
                        <w:rPr>
                          <w:color w:val="000000" w:themeColor="text1"/>
                          <w:sz w:val="13"/>
                          <w:szCs w:val="13"/>
                        </w:rPr>
                      </w:pPr>
                      <w:r>
                        <w:rPr>
                          <w:color w:val="000000" w:themeColor="text1"/>
                          <w:sz w:val="13"/>
                          <w:szCs w:val="13"/>
                        </w:rPr>
                        <w:t>Institutions</w:t>
                      </w:r>
                      <w:r>
                        <w:rPr>
                          <w:color w:val="000000" w:themeColor="text1"/>
                          <w:sz w:val="13"/>
                          <w:szCs w:val="13"/>
                        </w:rPr>
                        <w:tab/>
                      </w:r>
                    </w:p>
                  </w:txbxContent>
                </v:textbox>
              </v:rect>
            </w:pict>
          </mc:Fallback>
        </mc:AlternateContent>
      </w:r>
      <w:r>
        <w:rPr>
          <w:noProof/>
        </w:rPr>
        <mc:AlternateContent>
          <mc:Choice Requires="wps">
            <w:drawing>
              <wp:anchor distT="3175" distB="3175" distL="3175" distR="3175" simplePos="0" relativeHeight="251726848" behindDoc="0" locked="0" layoutInCell="1" allowOverlap="1" wp14:anchorId="480FAA4B" wp14:editId="1C04DE68">
                <wp:simplePos x="0" y="0"/>
                <wp:positionH relativeFrom="column">
                  <wp:posOffset>3369310</wp:posOffset>
                </wp:positionH>
                <wp:positionV relativeFrom="paragraph">
                  <wp:posOffset>2315845</wp:posOffset>
                </wp:positionV>
                <wp:extent cx="629285" cy="345440"/>
                <wp:effectExtent l="0" t="0" r="0" b="0"/>
                <wp:wrapNone/>
                <wp:docPr id="49" name="Forme31"/>
                <wp:cNvGraphicFramePr/>
                <a:graphic xmlns:a="http://schemas.openxmlformats.org/drawingml/2006/main">
                  <a:graphicData uri="http://schemas.microsoft.com/office/word/2010/wordprocessingShape">
                    <wps:wsp>
                      <wps:cNvSpPr/>
                      <wps:spPr bwMode="auto">
                        <a:xfrm>
                          <a:off x="0" y="0"/>
                          <a:ext cx="629285" cy="345440"/>
                        </a:xfrm>
                        <a:prstGeom prst="rect">
                          <a:avLst/>
                        </a:prstGeom>
                        <a:solidFill>
                          <a:srgbClr val="CAC8ED"/>
                        </a:solidFill>
                        <a:ln w="6350">
                          <a:solidFill>
                            <a:srgbClr val="000000"/>
                          </a:solidFill>
                          <a:round/>
                        </a:ln>
                      </wps:spPr>
                      <wps:txbx>
                        <w:txbxContent>
                          <w:p w14:paraId="10133274" w14:textId="77777777" w:rsidR="00716D4E" w:rsidRDefault="00716D4E" w:rsidP="004C51D4">
                            <w:pPr>
                              <w:pStyle w:val="Contenudecadre"/>
                              <w:jc w:val="center"/>
                              <w:rPr>
                                <w:color w:val="000000" w:themeColor="text1"/>
                                <w:sz w:val="16"/>
                                <w:szCs w:val="16"/>
                              </w:rPr>
                            </w:pPr>
                            <w:r>
                              <w:rPr>
                                <w:color w:val="000000" w:themeColor="text1"/>
                                <w:sz w:val="16"/>
                                <w:szCs w:val="16"/>
                              </w:rPr>
                              <w:t>Directoire GPM</w:t>
                            </w:r>
                          </w:p>
                        </w:txbxContent>
                      </wps:txbx>
                      <wps:bodyPr wrap="square" lIns="91440" tIns="45720" rIns="91440" bIns="45720" upright="1"/>
                    </wps:wsp>
                  </a:graphicData>
                </a:graphic>
              </wp:anchor>
            </w:drawing>
          </mc:Choice>
          <mc:Fallback>
            <w:pict>
              <v:rect w14:anchorId="480FAA4B" id="Forme31" o:spid="_x0000_s1038" style="position:absolute;left:0;text-align:left;margin-left:265.3pt;margin-top:182.35pt;width:49.55pt;height:27.2pt;z-index:251726848;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" fillcolor="#cac8ed" strokeweight=".5pt">
                <v:stroke joinstyle="round"/>
                <v:textbox>
                  <w:txbxContent>
                    <w:p w14:paraId="10133274" w14:textId="77777777" w:rsidR="00716D4E" w:rsidRDefault="00716D4E" w:rsidP="004C51D4">
                      <w:pPr>
                        <w:pStyle w:val="Contenudecadre"/>
                        <w:jc w:val="center"/>
                        <w:rPr>
                          <w:color w:val="000000" w:themeColor="text1"/>
                          <w:sz w:val="16"/>
                          <w:szCs w:val="16"/>
                        </w:rPr>
                      </w:pPr>
                      <w:r>
                        <w:rPr>
                          <w:color w:val="000000" w:themeColor="text1"/>
                          <w:sz w:val="16"/>
                          <w:szCs w:val="16"/>
                        </w:rPr>
                        <w:t>Directoire GPM</w:t>
                      </w:r>
                    </w:p>
                  </w:txbxContent>
                </v:textbox>
              </v:rect>
            </w:pict>
          </mc:Fallback>
        </mc:AlternateContent>
      </w:r>
      <w:r>
        <w:rPr>
          <w:noProof/>
        </w:rPr>
        <mc:AlternateContent>
          <mc:Choice Requires="wps">
            <w:drawing>
              <wp:anchor distT="3175" distB="3175" distL="3175" distR="3175" simplePos="0" relativeHeight="251727872" behindDoc="0" locked="0" layoutInCell="1" allowOverlap="1" wp14:anchorId="01D5097C" wp14:editId="64D99B62">
                <wp:simplePos x="0" y="0"/>
                <wp:positionH relativeFrom="column">
                  <wp:posOffset>2273935</wp:posOffset>
                </wp:positionH>
                <wp:positionV relativeFrom="paragraph">
                  <wp:posOffset>2058035</wp:posOffset>
                </wp:positionV>
                <wp:extent cx="978535" cy="430530"/>
                <wp:effectExtent l="0" t="0" r="0" b="0"/>
                <wp:wrapNone/>
                <wp:docPr id="50" name="Forme30"/>
                <wp:cNvGraphicFramePr/>
                <a:graphic xmlns:a="http://schemas.openxmlformats.org/drawingml/2006/main">
                  <a:graphicData uri="http://schemas.microsoft.com/office/word/2010/wordprocessingShape">
                    <wps:wsp>
                      <wps:cNvSpPr/>
                      <wps:spPr bwMode="auto">
                        <a:xfrm>
                          <a:off x="0" y="0"/>
                          <a:ext cx="978535" cy="430530"/>
                        </a:xfrm>
                        <a:prstGeom prst="rect">
                          <a:avLst/>
                        </a:prstGeom>
                        <a:solidFill>
                          <a:srgbClr val="CAC8ED"/>
                        </a:solidFill>
                        <a:ln w="6350">
                          <a:solidFill>
                            <a:srgbClr val="000000"/>
                          </a:solidFill>
                          <a:round/>
                        </a:ln>
                      </wps:spPr>
                      <wps:txbx>
                        <w:txbxContent>
                          <w:p w14:paraId="08991AA1" w14:textId="77777777" w:rsidR="00716D4E" w:rsidRDefault="00716D4E" w:rsidP="004C51D4">
                            <w:pPr>
                              <w:pStyle w:val="Contenudecadre"/>
                              <w:jc w:val="center"/>
                              <w:rPr>
                                <w:color w:val="000000" w:themeColor="text1"/>
                                <w:sz w:val="16"/>
                                <w:szCs w:val="16"/>
                              </w:rPr>
                            </w:pPr>
                            <w:r>
                              <w:rPr>
                                <w:color w:val="000000" w:themeColor="text1"/>
                                <w:sz w:val="16"/>
                                <w:szCs w:val="16"/>
                              </w:rPr>
                              <w:t>CS</w:t>
                            </w:r>
                          </w:p>
                          <w:p w14:paraId="749F4E94" w14:textId="77777777" w:rsidR="00716D4E" w:rsidRDefault="00716D4E" w:rsidP="004C51D4">
                            <w:pPr>
                              <w:pStyle w:val="Contenudecadre"/>
                              <w:jc w:val="center"/>
                              <w:rPr>
                                <w:color w:val="000000" w:themeColor="text1"/>
                                <w:sz w:val="14"/>
                                <w:szCs w:val="14"/>
                              </w:rPr>
                            </w:pPr>
                            <w:r>
                              <w:rPr>
                                <w:color w:val="000000" w:themeColor="text1"/>
                                <w:sz w:val="14"/>
                                <w:szCs w:val="14"/>
                              </w:rPr>
                              <w:t>&amp; Commission d’investissements</w:t>
                            </w:r>
                          </w:p>
                        </w:txbxContent>
                      </wps:txbx>
                      <wps:bodyPr wrap="square" lIns="91440" tIns="45720" rIns="91440" bIns="45720" upright="1"/>
                    </wps:wsp>
                  </a:graphicData>
                </a:graphic>
              </wp:anchor>
            </w:drawing>
          </mc:Choice>
          <mc:Fallback>
            <w:pict>
              <v:rect w14:anchorId="01D5097C" id="Forme30" o:spid="_x0000_s1039" style="position:absolute;left:0;text-align:left;margin-left:179.05pt;margin-top:162.05pt;width:77.05pt;height:33.9pt;z-index:251727872;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" fillcolor="#cac8ed" strokeweight=".5pt">
                <v:stroke joinstyle="round"/>
                <v:textbox>
                  <w:txbxContent>
                    <w:p w14:paraId="08991AA1" w14:textId="77777777" w:rsidR="00716D4E" w:rsidRDefault="00716D4E" w:rsidP="004C51D4">
                      <w:pPr>
                        <w:pStyle w:val="Contenudecadre"/>
                        <w:jc w:val="center"/>
                        <w:rPr>
                          <w:color w:val="000000" w:themeColor="text1"/>
                          <w:sz w:val="16"/>
                          <w:szCs w:val="16"/>
                        </w:rPr>
                      </w:pPr>
                      <w:r>
                        <w:rPr>
                          <w:color w:val="000000" w:themeColor="text1"/>
                          <w:sz w:val="16"/>
                          <w:szCs w:val="16"/>
                        </w:rPr>
                        <w:t>CS</w:t>
                      </w:r>
                    </w:p>
                    <w:p w14:paraId="749F4E94" w14:textId="77777777" w:rsidR="00716D4E" w:rsidRDefault="00716D4E" w:rsidP="004C51D4">
                      <w:pPr>
                        <w:pStyle w:val="Contenudecadre"/>
                        <w:jc w:val="center"/>
                        <w:rPr>
                          <w:color w:val="000000" w:themeColor="text1"/>
                          <w:sz w:val="14"/>
                          <w:szCs w:val="14"/>
                        </w:rPr>
                      </w:pPr>
                      <w:r>
                        <w:rPr>
                          <w:color w:val="000000" w:themeColor="text1"/>
                          <w:sz w:val="14"/>
                          <w:szCs w:val="14"/>
                        </w:rPr>
                        <w:t>&amp; Commission d’investissements</w:t>
                      </w:r>
                    </w:p>
                  </w:txbxContent>
                </v:textbox>
              </v:rect>
            </w:pict>
          </mc:Fallback>
        </mc:AlternateContent>
      </w:r>
      <w:r>
        <w:rPr>
          <w:noProof/>
        </w:rPr>
        <mc:AlternateContent>
          <mc:Choice Requires="wps">
            <w:drawing>
              <wp:anchor distT="3175" distB="3175" distL="3175" distR="3175" simplePos="0" relativeHeight="251728896" behindDoc="0" locked="0" layoutInCell="1" allowOverlap="1" wp14:anchorId="0B2AE76F" wp14:editId="07FD35DD">
                <wp:simplePos x="0" y="0"/>
                <wp:positionH relativeFrom="column">
                  <wp:posOffset>3951605</wp:posOffset>
                </wp:positionH>
                <wp:positionV relativeFrom="paragraph">
                  <wp:posOffset>1331595</wp:posOffset>
                </wp:positionV>
                <wp:extent cx="834390" cy="388620"/>
                <wp:effectExtent l="0" t="0" r="0" b="0"/>
                <wp:wrapNone/>
                <wp:docPr id="51" name="Forme26"/>
                <wp:cNvGraphicFramePr/>
                <a:graphic xmlns:a="http://schemas.openxmlformats.org/drawingml/2006/main">
                  <a:graphicData uri="http://schemas.microsoft.com/office/word/2010/wordprocessingShape">
                    <wps:wsp>
                      <wps:cNvSpPr/>
                      <wps:spPr bwMode="auto">
                        <a:xfrm>
                          <a:off x="0" y="0"/>
                          <a:ext cx="834390" cy="388620"/>
                        </a:xfrm>
                        <a:prstGeom prst="rect">
                          <a:avLst/>
                        </a:prstGeom>
                        <a:solidFill>
                          <a:srgbClr val="D5DCE4"/>
                        </a:solidFill>
                        <a:ln w="6350">
                          <a:solidFill>
                            <a:srgbClr val="000000"/>
                          </a:solidFill>
                          <a:round/>
                        </a:ln>
                      </wps:spPr>
                      <wps:txbx>
                        <w:txbxContent>
                          <w:p w14:paraId="0D746850" w14:textId="77777777" w:rsidR="00716D4E" w:rsidRDefault="00716D4E" w:rsidP="004C51D4">
                            <w:pPr>
                              <w:pStyle w:val="Contenudecadre"/>
                              <w:jc w:val="center"/>
                              <w:rPr>
                                <w:color w:val="000000" w:themeColor="text1"/>
                                <w:sz w:val="14"/>
                                <w:szCs w:val="14"/>
                              </w:rPr>
                            </w:pPr>
                            <w:r>
                              <w:rPr>
                                <w:color w:val="000000" w:themeColor="text1"/>
                                <w:sz w:val="14"/>
                                <w:szCs w:val="14"/>
                              </w:rPr>
                              <w:t>DGITM</w:t>
                            </w:r>
                          </w:p>
                          <w:p w14:paraId="45D2789D" w14:textId="77777777" w:rsidR="00716D4E" w:rsidRDefault="00716D4E" w:rsidP="004C51D4">
                            <w:pPr>
                              <w:pStyle w:val="Contenudecadre"/>
                              <w:jc w:val="center"/>
                              <w:rPr>
                                <w:color w:val="000000" w:themeColor="text1"/>
                                <w:sz w:val="14"/>
                                <w:szCs w:val="14"/>
                              </w:rPr>
                            </w:pPr>
                            <w:r>
                              <w:rPr>
                                <w:color w:val="000000" w:themeColor="text1"/>
                                <w:sz w:val="14"/>
                                <w:szCs w:val="14"/>
                              </w:rPr>
                              <w:t>APE</w:t>
                            </w:r>
                          </w:p>
                          <w:p w14:paraId="3669F7AD" w14:textId="77777777" w:rsidR="00716D4E" w:rsidRDefault="00716D4E" w:rsidP="004C51D4">
                            <w:pPr>
                              <w:pStyle w:val="Contenudecadre"/>
                              <w:jc w:val="center"/>
                              <w:rPr>
                                <w:color w:val="000000" w:themeColor="text1"/>
                                <w:sz w:val="14"/>
                                <w:szCs w:val="14"/>
                              </w:rPr>
                            </w:pPr>
                            <w:r>
                              <w:rPr>
                                <w:color w:val="000000" w:themeColor="text1"/>
                                <w:sz w:val="14"/>
                                <w:szCs w:val="14"/>
                              </w:rPr>
                              <w:t>financements</w:t>
                            </w:r>
                          </w:p>
                        </w:txbxContent>
                      </wps:txbx>
                      <wps:bodyPr wrap="square" lIns="91440" tIns="45720" rIns="91440" bIns="45720" upright="1"/>
                    </wps:wsp>
                  </a:graphicData>
                </a:graphic>
              </wp:anchor>
            </w:drawing>
          </mc:Choice>
          <mc:Fallback>
            <w:pict>
              <v:rect w14:anchorId="0B2AE76F" id="Forme26" o:spid="_x0000_s1040" style="position:absolute;left:0;text-align:left;margin-left:311.15pt;margin-top:104.85pt;width:65.7pt;height:30.6pt;z-index:251728896;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" fillcolor="#d5dce4" strokeweight=".5pt">
                <v:stroke joinstyle="round"/>
                <v:textbox>
                  <w:txbxContent>
                    <w:p w14:paraId="0D746850" w14:textId="77777777" w:rsidR="00716D4E" w:rsidRDefault="00716D4E" w:rsidP="004C51D4">
                      <w:pPr>
                        <w:pStyle w:val="Contenudecadre"/>
                        <w:jc w:val="center"/>
                        <w:rPr>
                          <w:color w:val="000000" w:themeColor="text1"/>
                          <w:sz w:val="14"/>
                          <w:szCs w:val="14"/>
                        </w:rPr>
                      </w:pPr>
                      <w:r>
                        <w:rPr>
                          <w:color w:val="000000" w:themeColor="text1"/>
                          <w:sz w:val="14"/>
                          <w:szCs w:val="14"/>
                        </w:rPr>
                        <w:t>DGITM</w:t>
                      </w:r>
                    </w:p>
                    <w:p w14:paraId="45D2789D" w14:textId="77777777" w:rsidR="00716D4E" w:rsidRDefault="00716D4E" w:rsidP="004C51D4">
                      <w:pPr>
                        <w:pStyle w:val="Contenudecadre"/>
                        <w:jc w:val="center"/>
                        <w:rPr>
                          <w:color w:val="000000" w:themeColor="text1"/>
                          <w:sz w:val="14"/>
                          <w:szCs w:val="14"/>
                        </w:rPr>
                      </w:pPr>
                      <w:r>
                        <w:rPr>
                          <w:color w:val="000000" w:themeColor="text1"/>
                          <w:sz w:val="14"/>
                          <w:szCs w:val="14"/>
                        </w:rPr>
                        <w:t>APE</w:t>
                      </w:r>
                    </w:p>
                    <w:p w14:paraId="3669F7AD" w14:textId="77777777" w:rsidR="00716D4E" w:rsidRDefault="00716D4E" w:rsidP="004C51D4">
                      <w:pPr>
                        <w:pStyle w:val="Contenudecadre"/>
                        <w:jc w:val="center"/>
                        <w:rPr>
                          <w:color w:val="000000" w:themeColor="text1"/>
                          <w:sz w:val="14"/>
                          <w:szCs w:val="14"/>
                        </w:rPr>
                      </w:pPr>
                      <w:proofErr w:type="gramStart"/>
                      <w:r>
                        <w:rPr>
                          <w:color w:val="000000" w:themeColor="text1"/>
                          <w:sz w:val="14"/>
                          <w:szCs w:val="14"/>
                        </w:rPr>
                        <w:t>financements</w:t>
                      </w:r>
                      <w:proofErr w:type="gramEnd"/>
                    </w:p>
                  </w:txbxContent>
                </v:textbox>
              </v:rect>
            </w:pict>
          </mc:Fallback>
        </mc:AlternateContent>
      </w:r>
      <w:r>
        <w:rPr>
          <w:noProof/>
        </w:rPr>
        <mc:AlternateContent>
          <mc:Choice Requires="wps">
            <w:drawing>
              <wp:anchor distT="3175" distB="3175" distL="3175" distR="3175" simplePos="0" relativeHeight="251729920" behindDoc="0" locked="0" layoutInCell="1" allowOverlap="1" wp14:anchorId="18081D07" wp14:editId="0A4E62CC">
                <wp:simplePos x="0" y="0"/>
                <wp:positionH relativeFrom="column">
                  <wp:posOffset>1029970</wp:posOffset>
                </wp:positionH>
                <wp:positionV relativeFrom="paragraph">
                  <wp:posOffset>2228850</wp:posOffset>
                </wp:positionV>
                <wp:extent cx="959485" cy="347980"/>
                <wp:effectExtent l="0" t="0" r="0" b="0"/>
                <wp:wrapNone/>
                <wp:docPr id="52" name="Forme25"/>
                <wp:cNvGraphicFramePr/>
                <a:graphic xmlns:a="http://schemas.openxmlformats.org/drawingml/2006/main">
                  <a:graphicData uri="http://schemas.microsoft.com/office/word/2010/wordprocessingShape">
                    <wps:wsp>
                      <wps:cNvSpPr/>
                      <wps:spPr bwMode="auto">
                        <a:xfrm>
                          <a:off x="0" y="0"/>
                          <a:ext cx="959485" cy="347980"/>
                        </a:xfrm>
                        <a:prstGeom prst="rect">
                          <a:avLst/>
                        </a:prstGeom>
                        <a:solidFill>
                          <a:srgbClr val="D5DCE4"/>
                        </a:solidFill>
                        <a:ln w="6350">
                          <a:solidFill>
                            <a:srgbClr val="000000"/>
                          </a:solidFill>
                          <a:round/>
                        </a:ln>
                      </wps:spPr>
                      <wps:txbx>
                        <w:txbxContent>
                          <w:p w14:paraId="767FB67F" w14:textId="77777777" w:rsidR="00716D4E" w:rsidRDefault="00716D4E" w:rsidP="004C51D4">
                            <w:pPr>
                              <w:pStyle w:val="Contenudecadre"/>
                              <w:jc w:val="center"/>
                              <w:rPr>
                                <w:color w:val="000000" w:themeColor="text1"/>
                                <w:sz w:val="14"/>
                                <w:szCs w:val="14"/>
                              </w:rPr>
                            </w:pPr>
                            <w:r>
                              <w:rPr>
                                <w:color w:val="000000" w:themeColor="text1"/>
                                <w:sz w:val="14"/>
                                <w:szCs w:val="14"/>
                              </w:rPr>
                              <w:t>Mairie de Rémire-Montjoly</w:t>
                            </w:r>
                          </w:p>
                        </w:txbxContent>
                      </wps:txbx>
                      <wps:bodyPr wrap="square" lIns="91440" tIns="45720" rIns="91440" bIns="45720" upright="1"/>
                    </wps:wsp>
                  </a:graphicData>
                </a:graphic>
              </wp:anchor>
            </w:drawing>
          </mc:Choice>
          <mc:Fallback>
            <w:pict>
              <v:rect w14:anchorId="18081D07" id="Forme25" o:spid="_x0000_s1041" style="position:absolute;left:0;text-align:left;margin-left:81.1pt;margin-top:175.5pt;width:75.55pt;height:27.4pt;z-index:251729920;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" fillcolor="#d5dce4" strokeweight=".5pt">
                <v:stroke joinstyle="round"/>
                <v:textbox>
                  <w:txbxContent>
                    <w:p w14:paraId="767FB67F" w14:textId="77777777" w:rsidR="00716D4E" w:rsidRDefault="00716D4E" w:rsidP="004C51D4">
                      <w:pPr>
                        <w:pStyle w:val="Contenudecadre"/>
                        <w:jc w:val="center"/>
                        <w:rPr>
                          <w:color w:val="000000" w:themeColor="text1"/>
                          <w:sz w:val="14"/>
                          <w:szCs w:val="14"/>
                        </w:rPr>
                      </w:pPr>
                      <w:r>
                        <w:rPr>
                          <w:color w:val="000000" w:themeColor="text1"/>
                          <w:sz w:val="14"/>
                          <w:szCs w:val="14"/>
                        </w:rPr>
                        <w:t>Mairie de Rémire-Montjoly</w:t>
                      </w:r>
                    </w:p>
                  </w:txbxContent>
                </v:textbox>
              </v:rect>
            </w:pict>
          </mc:Fallback>
        </mc:AlternateContent>
      </w:r>
      <w:r>
        <w:rPr>
          <w:noProof/>
        </w:rPr>
        <mc:AlternateContent>
          <mc:Choice Requires="wps">
            <w:drawing>
              <wp:anchor distT="3175" distB="3175" distL="3175" distR="3175" simplePos="0" relativeHeight="251730944" behindDoc="0" locked="0" layoutInCell="1" allowOverlap="1" wp14:anchorId="7C30E9FF" wp14:editId="7B8DDD2F">
                <wp:simplePos x="0" y="0"/>
                <wp:positionH relativeFrom="column">
                  <wp:posOffset>1166495</wp:posOffset>
                </wp:positionH>
                <wp:positionV relativeFrom="paragraph">
                  <wp:posOffset>2708910</wp:posOffset>
                </wp:positionV>
                <wp:extent cx="714375" cy="297180"/>
                <wp:effectExtent l="0" t="0" r="0" b="0"/>
                <wp:wrapNone/>
                <wp:docPr id="53" name="Forme24"/>
                <wp:cNvGraphicFramePr/>
                <a:graphic xmlns:a="http://schemas.openxmlformats.org/drawingml/2006/main">
                  <a:graphicData uri="http://schemas.microsoft.com/office/word/2010/wordprocessingShape">
                    <wps:wsp>
                      <wps:cNvSpPr/>
                      <wps:spPr bwMode="auto">
                        <a:xfrm>
                          <a:off x="0" y="0"/>
                          <a:ext cx="714375" cy="297180"/>
                        </a:xfrm>
                        <a:prstGeom prst="rect">
                          <a:avLst/>
                        </a:prstGeom>
                        <a:solidFill>
                          <a:srgbClr val="D5DCE4"/>
                        </a:solidFill>
                        <a:ln w="6350">
                          <a:solidFill>
                            <a:srgbClr val="000000"/>
                          </a:solidFill>
                          <a:round/>
                        </a:ln>
                      </wps:spPr>
                      <wps:txbx>
                        <w:txbxContent>
                          <w:p w14:paraId="51ED27AB" w14:textId="77777777" w:rsidR="00716D4E" w:rsidRDefault="00716D4E" w:rsidP="004C51D4">
                            <w:pPr>
                              <w:pStyle w:val="Contenudecadre"/>
                              <w:jc w:val="center"/>
                              <w:rPr>
                                <w:color w:val="000000" w:themeColor="text1"/>
                                <w:sz w:val="14"/>
                                <w:szCs w:val="14"/>
                              </w:rPr>
                            </w:pPr>
                            <w:r>
                              <w:rPr>
                                <w:color w:val="000000" w:themeColor="text1"/>
                                <w:sz w:val="14"/>
                                <w:szCs w:val="14"/>
                              </w:rPr>
                              <w:t>Mairie de Kourou</w:t>
                            </w:r>
                          </w:p>
                        </w:txbxContent>
                      </wps:txbx>
                      <wps:bodyPr wrap="square" lIns="91440" tIns="45720" rIns="91440" bIns="45720" upright="1"/>
                    </wps:wsp>
                  </a:graphicData>
                </a:graphic>
              </wp:anchor>
            </w:drawing>
          </mc:Choice>
          <mc:Fallback>
            <w:pict>
              <v:rect w14:anchorId="7C30E9FF" id="Forme24" o:spid="_x0000_s1042" style="position:absolute;left:0;text-align:left;margin-left:91.85pt;margin-top:213.3pt;width:56.25pt;height:23.4pt;z-index:251730944;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" fillcolor="#d5dce4" strokeweight=".5pt">
                <v:stroke joinstyle="round"/>
                <v:textbox>
                  <w:txbxContent>
                    <w:p w14:paraId="51ED27AB" w14:textId="77777777" w:rsidR="00716D4E" w:rsidRDefault="00716D4E" w:rsidP="004C51D4">
                      <w:pPr>
                        <w:pStyle w:val="Contenudecadre"/>
                        <w:jc w:val="center"/>
                        <w:rPr>
                          <w:color w:val="000000" w:themeColor="text1"/>
                          <w:sz w:val="14"/>
                          <w:szCs w:val="14"/>
                        </w:rPr>
                      </w:pPr>
                      <w:r>
                        <w:rPr>
                          <w:color w:val="000000" w:themeColor="text1"/>
                          <w:sz w:val="14"/>
                          <w:szCs w:val="14"/>
                        </w:rPr>
                        <w:t>Mairie de Kourou</w:t>
                      </w:r>
                    </w:p>
                  </w:txbxContent>
                </v:textbox>
              </v:rect>
            </w:pict>
          </mc:Fallback>
        </mc:AlternateContent>
      </w:r>
      <w:r>
        <w:rPr>
          <w:noProof/>
        </w:rPr>
        <mc:AlternateContent>
          <mc:Choice Requires="wps">
            <w:drawing>
              <wp:anchor distT="3175" distB="3175" distL="3175" distR="3175" simplePos="0" relativeHeight="251731968" behindDoc="0" locked="0" layoutInCell="1" allowOverlap="1" wp14:anchorId="0C6B5687" wp14:editId="0CE335AA">
                <wp:simplePos x="0" y="0"/>
                <wp:positionH relativeFrom="column">
                  <wp:posOffset>2383790</wp:posOffset>
                </wp:positionH>
                <wp:positionV relativeFrom="paragraph">
                  <wp:posOffset>4814570</wp:posOffset>
                </wp:positionV>
                <wp:extent cx="824230" cy="207645"/>
                <wp:effectExtent l="0" t="0" r="0" b="0"/>
                <wp:wrapNone/>
                <wp:docPr id="54" name="Forme23"/>
                <wp:cNvGraphicFramePr/>
                <a:graphic xmlns:a="http://schemas.openxmlformats.org/drawingml/2006/main">
                  <a:graphicData uri="http://schemas.microsoft.com/office/word/2010/wordprocessingShape">
                    <wps:wsp>
                      <wps:cNvSpPr/>
                      <wps:spPr bwMode="auto">
                        <a:xfrm>
                          <a:off x="0" y="0"/>
                          <a:ext cx="824230" cy="207645"/>
                        </a:xfrm>
                        <a:prstGeom prst="rect">
                          <a:avLst/>
                        </a:prstGeom>
                        <a:solidFill>
                          <a:srgbClr val="E6EDF7"/>
                        </a:solidFill>
                        <a:ln w="6350">
                          <a:solidFill>
                            <a:srgbClr val="000000"/>
                          </a:solidFill>
                          <a:round/>
                        </a:ln>
                      </wps:spPr>
                      <wps:txbx>
                        <w:txbxContent>
                          <w:p w14:paraId="317653A7" w14:textId="77777777" w:rsidR="00716D4E" w:rsidRDefault="00716D4E" w:rsidP="004C51D4">
                            <w:pPr>
                              <w:pStyle w:val="Contenudecadre"/>
                              <w:jc w:val="center"/>
                              <w:rPr>
                                <w:color w:val="000000" w:themeColor="text1"/>
                                <w:sz w:val="14"/>
                                <w:szCs w:val="14"/>
                              </w:rPr>
                            </w:pPr>
                            <w:r>
                              <w:rPr>
                                <w:color w:val="000000" w:themeColor="text1"/>
                                <w:sz w:val="14"/>
                                <w:szCs w:val="14"/>
                              </w:rPr>
                              <w:t>Transporteurs</w:t>
                            </w:r>
                          </w:p>
                        </w:txbxContent>
                      </wps:txbx>
                      <wps:bodyPr wrap="square" lIns="91440" tIns="45720" rIns="91440" bIns="45720" upright="1"/>
                    </wps:wsp>
                  </a:graphicData>
                </a:graphic>
              </wp:anchor>
            </w:drawing>
          </mc:Choice>
          <mc:Fallback>
            <w:pict>
              <v:rect w14:anchorId="0C6B5687" id="Forme23" o:spid="_x0000_s1043" style="position:absolute;left:0;text-align:left;margin-left:187.7pt;margin-top:379.1pt;width:64.9pt;height:16.35pt;z-index:251731968;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" fillcolor="#e6edf7" strokeweight=".5pt">
                <v:stroke joinstyle="round"/>
                <v:textbox>
                  <w:txbxContent>
                    <w:p w14:paraId="317653A7" w14:textId="77777777" w:rsidR="00716D4E" w:rsidRDefault="00716D4E" w:rsidP="004C51D4">
                      <w:pPr>
                        <w:pStyle w:val="Contenudecadre"/>
                        <w:jc w:val="center"/>
                        <w:rPr>
                          <w:color w:val="000000" w:themeColor="text1"/>
                          <w:sz w:val="14"/>
                          <w:szCs w:val="14"/>
                        </w:rPr>
                      </w:pPr>
                      <w:r>
                        <w:rPr>
                          <w:color w:val="000000" w:themeColor="text1"/>
                          <w:sz w:val="14"/>
                          <w:szCs w:val="14"/>
                        </w:rPr>
                        <w:t>Transporteurs</w:t>
                      </w:r>
                    </w:p>
                  </w:txbxContent>
                </v:textbox>
              </v:rect>
            </w:pict>
          </mc:Fallback>
        </mc:AlternateContent>
      </w:r>
      <w:r>
        <w:rPr>
          <w:noProof/>
        </w:rPr>
        <mc:AlternateContent>
          <mc:Choice Requires="wps">
            <w:drawing>
              <wp:anchor distT="3175" distB="3175" distL="3175" distR="3175" simplePos="0" relativeHeight="251732992" behindDoc="0" locked="0" layoutInCell="1" allowOverlap="1" wp14:anchorId="038E6C37" wp14:editId="09DA28F7">
                <wp:simplePos x="0" y="0"/>
                <wp:positionH relativeFrom="column">
                  <wp:posOffset>3328670</wp:posOffset>
                </wp:positionH>
                <wp:positionV relativeFrom="paragraph">
                  <wp:posOffset>4677410</wp:posOffset>
                </wp:positionV>
                <wp:extent cx="824230" cy="309880"/>
                <wp:effectExtent l="0" t="0" r="0" b="0"/>
                <wp:wrapNone/>
                <wp:docPr id="55" name="Forme22"/>
                <wp:cNvGraphicFramePr/>
                <a:graphic xmlns:a="http://schemas.openxmlformats.org/drawingml/2006/main">
                  <a:graphicData uri="http://schemas.microsoft.com/office/word/2010/wordprocessingShape">
                    <wps:wsp>
                      <wps:cNvSpPr/>
                      <wps:spPr bwMode="auto">
                        <a:xfrm>
                          <a:off x="0" y="0"/>
                          <a:ext cx="824230" cy="309880"/>
                        </a:xfrm>
                        <a:prstGeom prst="rect">
                          <a:avLst/>
                        </a:prstGeom>
                        <a:solidFill>
                          <a:srgbClr val="E6EDF7"/>
                        </a:solidFill>
                        <a:ln w="6350">
                          <a:solidFill>
                            <a:srgbClr val="000000"/>
                          </a:solidFill>
                          <a:round/>
                        </a:ln>
                      </wps:spPr>
                      <wps:txbx>
                        <w:txbxContent>
                          <w:p w14:paraId="30BEEC89" w14:textId="77777777" w:rsidR="00716D4E" w:rsidRDefault="00716D4E" w:rsidP="004C51D4">
                            <w:pPr>
                              <w:pStyle w:val="Contenudecadre"/>
                              <w:jc w:val="center"/>
                              <w:rPr>
                                <w:color w:val="000000" w:themeColor="text1"/>
                                <w:sz w:val="14"/>
                                <w:szCs w:val="14"/>
                              </w:rPr>
                            </w:pPr>
                            <w:r>
                              <w:rPr>
                                <w:color w:val="000000" w:themeColor="text1"/>
                                <w:sz w:val="14"/>
                                <w:szCs w:val="14"/>
                              </w:rPr>
                              <w:t>CTG</w:t>
                            </w:r>
                          </w:p>
                          <w:p w14:paraId="27851272" w14:textId="77777777" w:rsidR="00716D4E" w:rsidRDefault="00716D4E" w:rsidP="004C51D4">
                            <w:pPr>
                              <w:pStyle w:val="Contenudecadre"/>
                              <w:jc w:val="center"/>
                              <w:rPr>
                                <w:color w:val="000000" w:themeColor="text1"/>
                                <w:sz w:val="14"/>
                                <w:szCs w:val="14"/>
                              </w:rPr>
                            </w:pPr>
                            <w:r>
                              <w:rPr>
                                <w:color w:val="000000" w:themeColor="text1"/>
                                <w:sz w:val="14"/>
                                <w:szCs w:val="14"/>
                              </w:rPr>
                              <w:t>Accès routiers</w:t>
                            </w:r>
                          </w:p>
                        </w:txbxContent>
                      </wps:txbx>
                      <wps:bodyPr wrap="square" lIns="91440" tIns="45720" rIns="91440" bIns="45720" upright="1"/>
                    </wps:wsp>
                  </a:graphicData>
                </a:graphic>
              </wp:anchor>
            </w:drawing>
          </mc:Choice>
          <mc:Fallback>
            <w:pict>
              <v:rect w14:anchorId="038E6C37" id="Forme22" o:spid="_x0000_s1044" style="position:absolute;left:0;text-align:left;margin-left:262.1pt;margin-top:368.3pt;width:64.9pt;height:24.4pt;z-index:251732992;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" fillcolor="#e6edf7" strokeweight=".5pt">
                <v:stroke joinstyle="round"/>
                <v:textbox>
                  <w:txbxContent>
                    <w:p w14:paraId="30BEEC89" w14:textId="77777777" w:rsidR="00716D4E" w:rsidRDefault="00716D4E" w:rsidP="004C51D4">
                      <w:pPr>
                        <w:pStyle w:val="Contenudecadre"/>
                        <w:jc w:val="center"/>
                        <w:rPr>
                          <w:color w:val="000000" w:themeColor="text1"/>
                          <w:sz w:val="14"/>
                          <w:szCs w:val="14"/>
                        </w:rPr>
                      </w:pPr>
                      <w:r>
                        <w:rPr>
                          <w:color w:val="000000" w:themeColor="text1"/>
                          <w:sz w:val="14"/>
                          <w:szCs w:val="14"/>
                        </w:rPr>
                        <w:t>CTG</w:t>
                      </w:r>
                    </w:p>
                    <w:p w14:paraId="27851272" w14:textId="77777777" w:rsidR="00716D4E" w:rsidRDefault="00716D4E" w:rsidP="004C51D4">
                      <w:pPr>
                        <w:pStyle w:val="Contenudecadre"/>
                        <w:jc w:val="center"/>
                        <w:rPr>
                          <w:color w:val="000000" w:themeColor="text1"/>
                          <w:sz w:val="14"/>
                          <w:szCs w:val="14"/>
                        </w:rPr>
                      </w:pPr>
                      <w:r>
                        <w:rPr>
                          <w:color w:val="000000" w:themeColor="text1"/>
                          <w:sz w:val="14"/>
                          <w:szCs w:val="14"/>
                        </w:rPr>
                        <w:t>Accès routiers</w:t>
                      </w:r>
                    </w:p>
                  </w:txbxContent>
                </v:textbox>
              </v:rect>
            </w:pict>
          </mc:Fallback>
        </mc:AlternateContent>
      </w:r>
      <w:r>
        <w:rPr>
          <w:noProof/>
        </w:rPr>
        <mc:AlternateContent>
          <mc:Choice Requires="wps">
            <w:drawing>
              <wp:anchor distT="0" distB="0" distL="0" distR="0" simplePos="0" relativeHeight="251734016" behindDoc="0" locked="0" layoutInCell="1" allowOverlap="1" wp14:anchorId="11623AF0" wp14:editId="007BCD4D">
                <wp:simplePos x="0" y="0"/>
                <wp:positionH relativeFrom="column">
                  <wp:posOffset>1559560</wp:posOffset>
                </wp:positionH>
                <wp:positionV relativeFrom="paragraph">
                  <wp:posOffset>4482465</wp:posOffset>
                </wp:positionV>
                <wp:extent cx="824230" cy="207645"/>
                <wp:effectExtent l="0" t="0" r="0" b="0"/>
                <wp:wrapNone/>
                <wp:docPr id="56" name="Forme21"/>
                <wp:cNvGraphicFramePr/>
                <a:graphic xmlns:a="http://schemas.openxmlformats.org/drawingml/2006/main">
                  <a:graphicData uri="http://schemas.microsoft.com/office/word/2010/wordprocessingShape">
                    <wps:wsp>
                      <wps:cNvSpPr/>
                      <wps:spPr bwMode="auto">
                        <a:xfrm>
                          <a:off x="0" y="0"/>
                          <a:ext cx="824230" cy="207645"/>
                        </a:xfrm>
                        <a:prstGeom prst="rect">
                          <a:avLst/>
                        </a:prstGeom>
                        <a:solidFill>
                          <a:srgbClr val="E6EDF7"/>
                        </a:solidFill>
                        <a:ln w="6350">
                          <a:solidFill>
                            <a:srgbClr val="000000"/>
                          </a:solidFill>
                          <a:round/>
                        </a:ln>
                      </wps:spPr>
                      <wps:txbx>
                        <w:txbxContent>
                          <w:p w14:paraId="189D56A7" w14:textId="77777777" w:rsidR="00716D4E" w:rsidRDefault="00716D4E" w:rsidP="004C51D4">
                            <w:pPr>
                              <w:pStyle w:val="Contenudecadre"/>
                              <w:jc w:val="center"/>
                              <w:rPr>
                                <w:color w:val="000000" w:themeColor="text1"/>
                                <w:sz w:val="14"/>
                                <w:szCs w:val="14"/>
                              </w:rPr>
                            </w:pPr>
                            <w:r>
                              <w:rPr>
                                <w:color w:val="000000" w:themeColor="text1"/>
                                <w:sz w:val="14"/>
                                <w:szCs w:val="14"/>
                              </w:rPr>
                              <w:t>GEMAG</w:t>
                            </w:r>
                          </w:p>
                        </w:txbxContent>
                      </wps:txbx>
                      <wps:bodyPr wrap="square" lIns="91440" tIns="45720" rIns="91440" bIns="45720" upright="1"/>
                    </wps:wsp>
                  </a:graphicData>
                </a:graphic>
              </wp:anchor>
            </w:drawing>
          </mc:Choice>
          <mc:Fallback>
            <w:pict>
              <v:rect w14:anchorId="11623AF0" id="Forme21" o:spid="_x0000_s1045" style="position:absolute;left:0;text-align:left;margin-left:122.8pt;margin-top:352.95pt;width:64.9pt;height:16.35pt;z-index:2517340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" fillcolor="#e6edf7" strokeweight=".5pt">
                <v:stroke joinstyle="round"/>
                <v:textbox>
                  <w:txbxContent>
                    <w:p w14:paraId="189D56A7" w14:textId="77777777" w:rsidR="00716D4E" w:rsidRDefault="00716D4E" w:rsidP="004C51D4">
                      <w:pPr>
                        <w:pStyle w:val="Contenudecadre"/>
                        <w:jc w:val="center"/>
                        <w:rPr>
                          <w:color w:val="000000" w:themeColor="text1"/>
                          <w:sz w:val="14"/>
                          <w:szCs w:val="14"/>
                        </w:rPr>
                      </w:pPr>
                      <w:r>
                        <w:rPr>
                          <w:color w:val="000000" w:themeColor="text1"/>
                          <w:sz w:val="14"/>
                          <w:szCs w:val="14"/>
                        </w:rPr>
                        <w:t>GEMAG</w:t>
                      </w:r>
                    </w:p>
                  </w:txbxContent>
                </v:textbox>
              </v:rect>
            </w:pict>
          </mc:Fallback>
        </mc:AlternateContent>
      </w:r>
      <w:r>
        <w:rPr>
          <w:noProof/>
        </w:rPr>
        <mc:AlternateContent>
          <mc:Choice Requires="wps">
            <w:drawing>
              <wp:anchor distT="3175" distB="3175" distL="3175" distR="3175" simplePos="0" relativeHeight="251735040" behindDoc="0" locked="0" layoutInCell="1" allowOverlap="1" wp14:anchorId="287FBAB9" wp14:editId="472B0414">
                <wp:simplePos x="0" y="0"/>
                <wp:positionH relativeFrom="column">
                  <wp:posOffset>4368800</wp:posOffset>
                </wp:positionH>
                <wp:positionV relativeFrom="paragraph">
                  <wp:posOffset>4333240</wp:posOffset>
                </wp:positionV>
                <wp:extent cx="786130" cy="689610"/>
                <wp:effectExtent l="0" t="0" r="0" b="0"/>
                <wp:wrapNone/>
                <wp:docPr id="57" name="Forme20"/>
                <wp:cNvGraphicFramePr/>
                <a:graphic xmlns:a="http://schemas.openxmlformats.org/drawingml/2006/main">
                  <a:graphicData uri="http://schemas.microsoft.com/office/word/2010/wordprocessingShape">
                    <wps:wsp>
                      <wps:cNvSpPr/>
                      <wps:spPr bwMode="auto">
                        <a:xfrm>
                          <a:off x="0" y="0"/>
                          <a:ext cx="786130" cy="689610"/>
                        </a:xfrm>
                        <a:prstGeom prst="rect">
                          <a:avLst/>
                        </a:prstGeom>
                        <a:solidFill>
                          <a:srgbClr val="E6EDF7"/>
                        </a:solidFill>
                        <a:ln w="6350">
                          <a:solidFill>
                            <a:srgbClr val="000000"/>
                          </a:solidFill>
                          <a:round/>
                        </a:ln>
                      </wps:spPr>
                      <wps:txbx>
                        <w:txbxContent>
                          <w:p w14:paraId="38CDE514" w14:textId="77777777" w:rsidR="00716D4E" w:rsidRDefault="00716D4E" w:rsidP="004C51D4">
                            <w:pPr>
                              <w:pStyle w:val="Contenudecadre"/>
                              <w:jc w:val="center"/>
                              <w:rPr>
                                <w:color w:val="000000" w:themeColor="text1"/>
                                <w:sz w:val="14"/>
                                <w:szCs w:val="14"/>
                              </w:rPr>
                            </w:pPr>
                            <w:r>
                              <w:rPr>
                                <w:color w:val="000000" w:themeColor="text1"/>
                                <w:sz w:val="14"/>
                                <w:szCs w:val="14"/>
                              </w:rPr>
                              <w:t>Fournisseurs réseaux</w:t>
                            </w:r>
                          </w:p>
                          <w:p w14:paraId="4DD9FD5E" w14:textId="77777777" w:rsidR="00716D4E" w:rsidRDefault="00716D4E" w:rsidP="004C51D4">
                            <w:pPr>
                              <w:pStyle w:val="Contenudecadre"/>
                              <w:jc w:val="center"/>
                              <w:rPr>
                                <w:color w:val="000000" w:themeColor="text1"/>
                                <w:sz w:val="14"/>
                                <w:szCs w:val="14"/>
                              </w:rPr>
                            </w:pPr>
                            <w:r>
                              <w:rPr>
                                <w:color w:val="000000" w:themeColor="text1"/>
                                <w:sz w:val="14"/>
                                <w:szCs w:val="14"/>
                              </w:rPr>
                              <w:t>EDF</w:t>
                            </w:r>
                          </w:p>
                          <w:p w14:paraId="3ED9D577" w14:textId="77777777" w:rsidR="00716D4E" w:rsidRDefault="00716D4E" w:rsidP="004C51D4">
                            <w:pPr>
                              <w:pStyle w:val="Contenudecadre"/>
                              <w:jc w:val="center"/>
                              <w:rPr>
                                <w:color w:val="000000" w:themeColor="text1"/>
                                <w:sz w:val="14"/>
                                <w:szCs w:val="14"/>
                              </w:rPr>
                            </w:pPr>
                            <w:r>
                              <w:rPr>
                                <w:color w:val="000000" w:themeColor="text1"/>
                                <w:sz w:val="14"/>
                                <w:szCs w:val="14"/>
                              </w:rPr>
                              <w:t>SGDE</w:t>
                            </w:r>
                          </w:p>
                          <w:p w14:paraId="45DF19A9" w14:textId="77777777" w:rsidR="00716D4E" w:rsidRDefault="00716D4E" w:rsidP="004C51D4">
                            <w:pPr>
                              <w:pStyle w:val="Contenudecadre"/>
                              <w:jc w:val="center"/>
                              <w:rPr>
                                <w:color w:val="000000" w:themeColor="text1"/>
                                <w:sz w:val="14"/>
                                <w:szCs w:val="14"/>
                              </w:rPr>
                            </w:pPr>
                            <w:r>
                              <w:rPr>
                                <w:color w:val="000000" w:themeColor="text1"/>
                                <w:sz w:val="14"/>
                                <w:szCs w:val="14"/>
                              </w:rPr>
                              <w:t>Telecom</w:t>
                            </w:r>
                          </w:p>
                        </w:txbxContent>
                      </wps:txbx>
                      <wps:bodyPr wrap="square" lIns="91440" tIns="45720" rIns="91440" bIns="45720" upright="1"/>
                    </wps:wsp>
                  </a:graphicData>
                </a:graphic>
              </wp:anchor>
            </w:drawing>
          </mc:Choice>
          <mc:Fallback>
            <w:pict>
              <v:rect w14:anchorId="287FBAB9" id="Forme20" o:spid="_x0000_s1046" style="position:absolute;left:0;text-align:left;margin-left:344pt;margin-top:341.2pt;width:61.9pt;height:54.3pt;z-index:251735040;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" fillcolor="#e6edf7" strokeweight=".5pt">
                <v:stroke joinstyle="round"/>
                <v:textbox>
                  <w:txbxContent>
                    <w:p w14:paraId="38CDE514" w14:textId="77777777" w:rsidR="00716D4E" w:rsidRDefault="00716D4E" w:rsidP="004C51D4">
                      <w:pPr>
                        <w:pStyle w:val="Contenudecadre"/>
                        <w:jc w:val="center"/>
                        <w:rPr>
                          <w:color w:val="000000" w:themeColor="text1"/>
                          <w:sz w:val="14"/>
                          <w:szCs w:val="14"/>
                        </w:rPr>
                      </w:pPr>
                      <w:r>
                        <w:rPr>
                          <w:color w:val="000000" w:themeColor="text1"/>
                          <w:sz w:val="14"/>
                          <w:szCs w:val="14"/>
                        </w:rPr>
                        <w:t>Fournisseurs réseaux</w:t>
                      </w:r>
                    </w:p>
                    <w:p w14:paraId="4DD9FD5E" w14:textId="77777777" w:rsidR="00716D4E" w:rsidRDefault="00716D4E" w:rsidP="004C51D4">
                      <w:pPr>
                        <w:pStyle w:val="Contenudecadre"/>
                        <w:jc w:val="center"/>
                        <w:rPr>
                          <w:color w:val="000000" w:themeColor="text1"/>
                          <w:sz w:val="14"/>
                          <w:szCs w:val="14"/>
                        </w:rPr>
                      </w:pPr>
                      <w:r>
                        <w:rPr>
                          <w:color w:val="000000" w:themeColor="text1"/>
                          <w:sz w:val="14"/>
                          <w:szCs w:val="14"/>
                        </w:rPr>
                        <w:t>EDF</w:t>
                      </w:r>
                    </w:p>
                    <w:p w14:paraId="3ED9D577" w14:textId="77777777" w:rsidR="00716D4E" w:rsidRDefault="00716D4E" w:rsidP="004C51D4">
                      <w:pPr>
                        <w:pStyle w:val="Contenudecadre"/>
                        <w:jc w:val="center"/>
                        <w:rPr>
                          <w:color w:val="000000" w:themeColor="text1"/>
                          <w:sz w:val="14"/>
                          <w:szCs w:val="14"/>
                        </w:rPr>
                      </w:pPr>
                      <w:r>
                        <w:rPr>
                          <w:color w:val="000000" w:themeColor="text1"/>
                          <w:sz w:val="14"/>
                          <w:szCs w:val="14"/>
                        </w:rPr>
                        <w:t>SGDE</w:t>
                      </w:r>
                    </w:p>
                    <w:p w14:paraId="45DF19A9" w14:textId="77777777" w:rsidR="00716D4E" w:rsidRDefault="00716D4E" w:rsidP="004C51D4">
                      <w:pPr>
                        <w:pStyle w:val="Contenudecadre"/>
                        <w:jc w:val="center"/>
                        <w:rPr>
                          <w:color w:val="000000" w:themeColor="text1"/>
                          <w:sz w:val="14"/>
                          <w:szCs w:val="14"/>
                        </w:rPr>
                      </w:pPr>
                      <w:r>
                        <w:rPr>
                          <w:color w:val="000000" w:themeColor="text1"/>
                          <w:sz w:val="14"/>
                          <w:szCs w:val="14"/>
                        </w:rPr>
                        <w:t>Telecom</w:t>
                      </w:r>
                    </w:p>
                  </w:txbxContent>
                </v:textbox>
              </v:rect>
            </w:pict>
          </mc:Fallback>
        </mc:AlternateContent>
      </w:r>
      <w:r>
        <w:rPr>
          <w:noProof/>
        </w:rPr>
        <mc:AlternateContent>
          <mc:Choice Requires="wps">
            <w:drawing>
              <wp:anchor distT="3175" distB="3175" distL="3175" distR="3175" simplePos="0" relativeHeight="251736064" behindDoc="0" locked="0" layoutInCell="1" allowOverlap="1" wp14:anchorId="5848536F" wp14:editId="69B5BB83">
                <wp:simplePos x="0" y="0"/>
                <wp:positionH relativeFrom="column">
                  <wp:posOffset>5200015</wp:posOffset>
                </wp:positionH>
                <wp:positionV relativeFrom="paragraph">
                  <wp:posOffset>3929380</wp:posOffset>
                </wp:positionV>
                <wp:extent cx="824230" cy="304800"/>
                <wp:effectExtent l="0" t="0" r="0" b="0"/>
                <wp:wrapNone/>
                <wp:docPr id="58" name="Forme19"/>
                <wp:cNvGraphicFramePr/>
                <a:graphic xmlns:a="http://schemas.openxmlformats.org/drawingml/2006/main">
                  <a:graphicData uri="http://schemas.microsoft.com/office/word/2010/wordprocessingShape">
                    <wps:wsp>
                      <wps:cNvSpPr/>
                      <wps:spPr bwMode="auto">
                        <a:xfrm>
                          <a:off x="0" y="0"/>
                          <a:ext cx="824230" cy="304800"/>
                        </a:xfrm>
                        <a:prstGeom prst="rect">
                          <a:avLst/>
                        </a:prstGeom>
                        <a:solidFill>
                          <a:srgbClr val="E6EDF7"/>
                        </a:solidFill>
                        <a:ln w="6350">
                          <a:solidFill>
                            <a:srgbClr val="000000"/>
                          </a:solidFill>
                          <a:round/>
                        </a:ln>
                      </wps:spPr>
                      <wps:txbx>
                        <w:txbxContent>
                          <w:p w14:paraId="5B786703" w14:textId="36AB66CB" w:rsidR="00716D4E" w:rsidRDefault="00716D4E" w:rsidP="004C51D4">
                            <w:pPr>
                              <w:pStyle w:val="Contenudecadre"/>
                              <w:jc w:val="center"/>
                              <w:rPr>
                                <w:color w:val="000000" w:themeColor="text1"/>
                                <w:sz w:val="14"/>
                                <w:szCs w:val="14"/>
                              </w:rPr>
                            </w:pPr>
                            <w:r w:rsidRPr="00B9144B">
                              <w:rPr>
                                <w:color w:val="000000" w:themeColor="text1"/>
                                <w:sz w:val="14"/>
                                <w:szCs w:val="14"/>
                              </w:rPr>
                              <w:t xml:space="preserve">Autres acteurs </w:t>
                            </w:r>
                          </w:p>
                        </w:txbxContent>
                      </wps:txbx>
                      <wps:bodyPr wrap="square" lIns="91440" tIns="45720" rIns="91440" bIns="45720" upright="1"/>
                    </wps:wsp>
                  </a:graphicData>
                </a:graphic>
              </wp:anchor>
            </w:drawing>
          </mc:Choice>
          <mc:Fallback>
            <w:pict>
              <v:rect w14:anchorId="5848536F" id="Forme19" o:spid="_x0000_s1047" style="position:absolute;left:0;text-align:left;margin-left:409.45pt;margin-top:309.4pt;width:64.9pt;height:24pt;z-index:251736064;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" fillcolor="#e6edf7" strokeweight=".5pt">
                <v:stroke joinstyle="round"/>
                <v:textbox>
                  <w:txbxContent>
                    <w:p w14:paraId="5B786703" w14:textId="36AB66CB" w:rsidR="00716D4E" w:rsidRDefault="00716D4E" w:rsidP="004C51D4">
                      <w:pPr>
                        <w:pStyle w:val="Contenudecadre"/>
                        <w:jc w:val="center"/>
                        <w:rPr>
                          <w:color w:val="000000" w:themeColor="text1"/>
                          <w:sz w:val="14"/>
                          <w:szCs w:val="14"/>
                        </w:rPr>
                      </w:pPr>
                      <w:r w:rsidRPr="00B9144B">
                        <w:rPr>
                          <w:color w:val="000000" w:themeColor="text1"/>
                          <w:sz w:val="14"/>
                          <w:szCs w:val="14"/>
                        </w:rPr>
                        <w:t xml:space="preserve">Autres acteurs </w:t>
                      </w:r>
                    </w:p>
                  </w:txbxContent>
                </v:textbox>
              </v:rect>
            </w:pict>
          </mc:Fallback>
        </mc:AlternateContent>
      </w:r>
      <w:r>
        <w:rPr>
          <w:noProof/>
        </w:rPr>
        <mc:AlternateContent>
          <mc:Choice Requires="wps">
            <w:drawing>
              <wp:anchor distT="3175" distB="3175" distL="3175" distR="3175" simplePos="0" relativeHeight="251737088" behindDoc="0" locked="0" layoutInCell="1" allowOverlap="1" wp14:anchorId="7BE789E5" wp14:editId="7CA21950">
                <wp:simplePos x="0" y="0"/>
                <wp:positionH relativeFrom="column">
                  <wp:posOffset>5612130</wp:posOffset>
                </wp:positionH>
                <wp:positionV relativeFrom="paragraph">
                  <wp:posOffset>3536950</wp:posOffset>
                </wp:positionV>
                <wp:extent cx="681990" cy="251460"/>
                <wp:effectExtent l="0" t="0" r="0" b="0"/>
                <wp:wrapNone/>
                <wp:docPr id="59" name="Forme18"/>
                <wp:cNvGraphicFramePr/>
                <a:graphic xmlns:a="http://schemas.openxmlformats.org/drawingml/2006/main">
                  <a:graphicData uri="http://schemas.microsoft.com/office/word/2010/wordprocessingShape">
                    <wps:wsp>
                      <wps:cNvSpPr/>
                      <wps:spPr bwMode="auto">
                        <a:xfrm>
                          <a:off x="0" y="0"/>
                          <a:ext cx="681990" cy="251460"/>
                        </a:xfrm>
                        <a:prstGeom prst="rect">
                          <a:avLst/>
                        </a:prstGeom>
                        <a:solidFill>
                          <a:srgbClr val="E6EDF7"/>
                        </a:solidFill>
                        <a:ln w="6350">
                          <a:solidFill>
                            <a:srgbClr val="000000"/>
                          </a:solidFill>
                          <a:round/>
                        </a:ln>
                      </wps:spPr>
                      <wps:txbx>
                        <w:txbxContent>
                          <w:p w14:paraId="76935A9F" w14:textId="77777777" w:rsidR="00716D4E" w:rsidRDefault="00716D4E" w:rsidP="004C51D4">
                            <w:pPr>
                              <w:pStyle w:val="Contenudecadre"/>
                              <w:jc w:val="center"/>
                              <w:rPr>
                                <w:color w:val="000000" w:themeColor="text1"/>
                                <w:sz w:val="14"/>
                                <w:szCs w:val="14"/>
                              </w:rPr>
                            </w:pPr>
                            <w:r>
                              <w:rPr>
                                <w:color w:val="000000" w:themeColor="text1"/>
                                <w:sz w:val="14"/>
                                <w:szCs w:val="14"/>
                              </w:rPr>
                              <w:t>Medef</w:t>
                            </w:r>
                          </w:p>
                        </w:txbxContent>
                      </wps:txbx>
                      <wps:bodyPr wrap="square" lIns="91440" tIns="45720" rIns="91440" bIns="45720" upright="1"/>
                    </wps:wsp>
                  </a:graphicData>
                </a:graphic>
              </wp:anchor>
            </w:drawing>
          </mc:Choice>
          <mc:Fallback>
            <w:pict>
              <v:rect w14:anchorId="7BE789E5" id="Forme18" o:spid="_x0000_s1048" style="position:absolute;left:0;text-align:left;margin-left:441.9pt;margin-top:278.5pt;width:53.7pt;height:19.8pt;z-index:251737088;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" fillcolor="#e6edf7" strokeweight=".5pt">
                <v:stroke joinstyle="round"/>
                <v:textbox>
                  <w:txbxContent>
                    <w:p w14:paraId="76935A9F" w14:textId="77777777" w:rsidR="00716D4E" w:rsidRDefault="00716D4E" w:rsidP="004C51D4">
                      <w:pPr>
                        <w:pStyle w:val="Contenudecadre"/>
                        <w:jc w:val="center"/>
                        <w:rPr>
                          <w:color w:val="000000" w:themeColor="text1"/>
                          <w:sz w:val="14"/>
                          <w:szCs w:val="14"/>
                        </w:rPr>
                      </w:pPr>
                      <w:r>
                        <w:rPr>
                          <w:color w:val="000000" w:themeColor="text1"/>
                          <w:sz w:val="14"/>
                          <w:szCs w:val="14"/>
                        </w:rPr>
                        <w:t>Medef</w:t>
                      </w:r>
                    </w:p>
                  </w:txbxContent>
                </v:textbox>
              </v:rect>
            </w:pict>
          </mc:Fallback>
        </mc:AlternateContent>
      </w:r>
      <w:r>
        <w:rPr>
          <w:noProof/>
        </w:rPr>
        <mc:AlternateContent>
          <mc:Choice Requires="wps">
            <w:drawing>
              <wp:anchor distT="3175" distB="3175" distL="3175" distR="3175" simplePos="0" relativeHeight="251738112" behindDoc="0" locked="0" layoutInCell="1" allowOverlap="1" wp14:anchorId="71B20D77" wp14:editId="56BB94BA">
                <wp:simplePos x="0" y="0"/>
                <wp:positionH relativeFrom="column">
                  <wp:posOffset>5955665</wp:posOffset>
                </wp:positionH>
                <wp:positionV relativeFrom="paragraph">
                  <wp:posOffset>2922905</wp:posOffset>
                </wp:positionV>
                <wp:extent cx="681990" cy="310515"/>
                <wp:effectExtent l="0" t="0" r="0" b="0"/>
                <wp:wrapNone/>
                <wp:docPr id="60" name="Forme17"/>
                <wp:cNvGraphicFramePr/>
                <a:graphic xmlns:a="http://schemas.openxmlformats.org/drawingml/2006/main">
                  <a:graphicData uri="http://schemas.microsoft.com/office/word/2010/wordprocessingShape">
                    <wps:wsp>
                      <wps:cNvSpPr/>
                      <wps:spPr bwMode="auto">
                        <a:xfrm>
                          <a:off x="0" y="0"/>
                          <a:ext cx="681990" cy="310515"/>
                        </a:xfrm>
                        <a:prstGeom prst="rect">
                          <a:avLst/>
                        </a:prstGeom>
                        <a:solidFill>
                          <a:srgbClr val="E6EDF7"/>
                        </a:solidFill>
                        <a:ln w="6350">
                          <a:solidFill>
                            <a:srgbClr val="000000"/>
                          </a:solidFill>
                          <a:round/>
                        </a:ln>
                      </wps:spPr>
                      <wps:txbx>
                        <w:txbxContent>
                          <w:p w14:paraId="77644DEC" w14:textId="77777777" w:rsidR="00716D4E" w:rsidRDefault="00716D4E" w:rsidP="004C51D4">
                            <w:pPr>
                              <w:pStyle w:val="Contenudecadre"/>
                              <w:jc w:val="center"/>
                              <w:rPr>
                                <w:color w:val="000000" w:themeColor="text1"/>
                                <w:sz w:val="14"/>
                                <w:szCs w:val="14"/>
                              </w:rPr>
                            </w:pPr>
                            <w:r>
                              <w:rPr>
                                <w:color w:val="000000" w:themeColor="text1"/>
                                <w:sz w:val="14"/>
                                <w:szCs w:val="14"/>
                              </w:rPr>
                              <w:t>CPME Guyane</w:t>
                            </w:r>
                          </w:p>
                        </w:txbxContent>
                      </wps:txbx>
                      <wps:bodyPr wrap="square" lIns="91440" tIns="45720" rIns="91440" bIns="45720" upright="1"/>
                    </wps:wsp>
                  </a:graphicData>
                </a:graphic>
              </wp:anchor>
            </w:drawing>
          </mc:Choice>
          <mc:Fallback>
            <w:pict>
              <v:rect w14:anchorId="71B20D77" id="Forme17" o:spid="_x0000_s1049" style="position:absolute;left:0;text-align:left;margin-left:468.95pt;margin-top:230.15pt;width:53.7pt;height:24.45pt;z-index:251738112;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" fillcolor="#e6edf7" strokeweight=".5pt">
                <v:stroke joinstyle="round"/>
                <v:textbox>
                  <w:txbxContent>
                    <w:p w14:paraId="77644DEC" w14:textId="77777777" w:rsidR="00716D4E" w:rsidRDefault="00716D4E" w:rsidP="004C51D4">
                      <w:pPr>
                        <w:pStyle w:val="Contenudecadre"/>
                        <w:jc w:val="center"/>
                        <w:rPr>
                          <w:color w:val="000000" w:themeColor="text1"/>
                          <w:sz w:val="14"/>
                          <w:szCs w:val="14"/>
                        </w:rPr>
                      </w:pPr>
                      <w:r>
                        <w:rPr>
                          <w:color w:val="000000" w:themeColor="text1"/>
                          <w:sz w:val="14"/>
                          <w:szCs w:val="14"/>
                        </w:rPr>
                        <w:t>CPME Guyane</w:t>
                      </w:r>
                    </w:p>
                  </w:txbxContent>
                </v:textbox>
              </v:rect>
            </w:pict>
          </mc:Fallback>
        </mc:AlternateContent>
      </w:r>
      <w:r>
        <w:rPr>
          <w:noProof/>
        </w:rPr>
        <mc:AlternateContent>
          <mc:Choice Requires="wps">
            <w:drawing>
              <wp:anchor distT="3175" distB="3175" distL="3175" distR="3175" simplePos="0" relativeHeight="251739136" behindDoc="0" locked="0" layoutInCell="1" allowOverlap="1" wp14:anchorId="75457F34" wp14:editId="062DF3B7">
                <wp:simplePos x="0" y="0"/>
                <wp:positionH relativeFrom="column">
                  <wp:posOffset>5953125</wp:posOffset>
                </wp:positionH>
                <wp:positionV relativeFrom="paragraph">
                  <wp:posOffset>2337435</wp:posOffset>
                </wp:positionV>
                <wp:extent cx="681990" cy="393700"/>
                <wp:effectExtent l="0" t="0" r="0" b="0"/>
                <wp:wrapNone/>
                <wp:docPr id="61" name="Forme16"/>
                <wp:cNvGraphicFramePr/>
                <a:graphic xmlns:a="http://schemas.openxmlformats.org/drawingml/2006/main">
                  <a:graphicData uri="http://schemas.microsoft.com/office/word/2010/wordprocessingShape">
                    <wps:wsp>
                      <wps:cNvSpPr/>
                      <wps:spPr bwMode="auto">
                        <a:xfrm>
                          <a:off x="0" y="0"/>
                          <a:ext cx="681990" cy="393700"/>
                        </a:xfrm>
                        <a:prstGeom prst="rect">
                          <a:avLst/>
                        </a:prstGeom>
                        <a:solidFill>
                          <a:srgbClr val="E6EDF7"/>
                        </a:solidFill>
                        <a:ln w="6350">
                          <a:solidFill>
                            <a:srgbClr val="000000"/>
                          </a:solidFill>
                          <a:round/>
                        </a:ln>
                      </wps:spPr>
                      <wps:txbx>
                        <w:txbxContent>
                          <w:p w14:paraId="6424C9CC" w14:textId="77777777" w:rsidR="00716D4E" w:rsidRDefault="00716D4E" w:rsidP="004C51D4">
                            <w:pPr>
                              <w:pStyle w:val="Contenudecadre"/>
                              <w:jc w:val="center"/>
                              <w:rPr>
                                <w:color w:val="000000" w:themeColor="text1"/>
                                <w:sz w:val="14"/>
                                <w:szCs w:val="14"/>
                              </w:rPr>
                            </w:pPr>
                            <w:r>
                              <w:rPr>
                                <w:color w:val="000000" w:themeColor="text1"/>
                                <w:sz w:val="14"/>
                                <w:szCs w:val="14"/>
                              </w:rPr>
                              <w:t>CCI</w:t>
                            </w:r>
                          </w:p>
                          <w:p w14:paraId="725E7A76" w14:textId="77777777" w:rsidR="00716D4E" w:rsidRDefault="00716D4E" w:rsidP="004C51D4">
                            <w:pPr>
                              <w:pStyle w:val="Contenudecadre"/>
                              <w:jc w:val="center"/>
                              <w:rPr>
                                <w:color w:val="000000" w:themeColor="text1"/>
                                <w:sz w:val="14"/>
                                <w:szCs w:val="14"/>
                              </w:rPr>
                            </w:pPr>
                            <w:r>
                              <w:rPr>
                                <w:color w:val="000000" w:themeColor="text1"/>
                                <w:sz w:val="14"/>
                                <w:szCs w:val="14"/>
                              </w:rPr>
                              <w:t>Artisanat</w:t>
                            </w:r>
                          </w:p>
                          <w:p w14:paraId="2D8CFB87" w14:textId="77777777" w:rsidR="00716D4E" w:rsidRDefault="00716D4E" w:rsidP="004C51D4">
                            <w:pPr>
                              <w:pStyle w:val="Contenudecadre"/>
                              <w:jc w:val="center"/>
                              <w:rPr>
                                <w:color w:val="000000" w:themeColor="text1"/>
                                <w:sz w:val="14"/>
                                <w:szCs w:val="14"/>
                              </w:rPr>
                            </w:pPr>
                            <w:r>
                              <w:rPr>
                                <w:color w:val="000000" w:themeColor="text1"/>
                                <w:sz w:val="14"/>
                                <w:szCs w:val="14"/>
                              </w:rPr>
                              <w:t>Agriculteurs</w:t>
                            </w:r>
                          </w:p>
                        </w:txbxContent>
                      </wps:txbx>
                      <wps:bodyPr wrap="square" lIns="91440" tIns="45720" rIns="91440" bIns="45720" upright="1"/>
                    </wps:wsp>
                  </a:graphicData>
                </a:graphic>
              </wp:anchor>
            </w:drawing>
          </mc:Choice>
          <mc:Fallback>
            <w:pict>
              <v:rect w14:anchorId="75457F34" id="Forme16" o:spid="_x0000_s1050" style="position:absolute;left:0;text-align:left;margin-left:468.75pt;margin-top:184.05pt;width:53.7pt;height:31pt;z-index:251739136;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" fillcolor="#e6edf7" strokeweight=".5pt">
                <v:stroke joinstyle="round"/>
                <v:textbox>
                  <w:txbxContent>
                    <w:p w14:paraId="6424C9CC" w14:textId="77777777" w:rsidR="00716D4E" w:rsidRDefault="00716D4E" w:rsidP="004C51D4">
                      <w:pPr>
                        <w:pStyle w:val="Contenudecadre"/>
                        <w:jc w:val="center"/>
                        <w:rPr>
                          <w:color w:val="000000" w:themeColor="text1"/>
                          <w:sz w:val="14"/>
                          <w:szCs w:val="14"/>
                        </w:rPr>
                      </w:pPr>
                      <w:r>
                        <w:rPr>
                          <w:color w:val="000000" w:themeColor="text1"/>
                          <w:sz w:val="14"/>
                          <w:szCs w:val="14"/>
                        </w:rPr>
                        <w:t>CCI</w:t>
                      </w:r>
                    </w:p>
                    <w:p w14:paraId="725E7A76" w14:textId="77777777" w:rsidR="00716D4E" w:rsidRDefault="00716D4E" w:rsidP="004C51D4">
                      <w:pPr>
                        <w:pStyle w:val="Contenudecadre"/>
                        <w:jc w:val="center"/>
                        <w:rPr>
                          <w:color w:val="000000" w:themeColor="text1"/>
                          <w:sz w:val="14"/>
                          <w:szCs w:val="14"/>
                        </w:rPr>
                      </w:pPr>
                      <w:r>
                        <w:rPr>
                          <w:color w:val="000000" w:themeColor="text1"/>
                          <w:sz w:val="14"/>
                          <w:szCs w:val="14"/>
                        </w:rPr>
                        <w:t>Artisanat</w:t>
                      </w:r>
                    </w:p>
                    <w:p w14:paraId="2D8CFB87" w14:textId="77777777" w:rsidR="00716D4E" w:rsidRDefault="00716D4E" w:rsidP="004C51D4">
                      <w:pPr>
                        <w:pStyle w:val="Contenudecadre"/>
                        <w:jc w:val="center"/>
                        <w:rPr>
                          <w:color w:val="000000" w:themeColor="text1"/>
                          <w:sz w:val="14"/>
                          <w:szCs w:val="14"/>
                        </w:rPr>
                      </w:pPr>
                      <w:r>
                        <w:rPr>
                          <w:color w:val="000000" w:themeColor="text1"/>
                          <w:sz w:val="14"/>
                          <w:szCs w:val="14"/>
                        </w:rPr>
                        <w:t>Agriculteurs</w:t>
                      </w:r>
                    </w:p>
                  </w:txbxContent>
                </v:textbox>
              </v:rect>
            </w:pict>
          </mc:Fallback>
        </mc:AlternateContent>
      </w:r>
      <w:r>
        <w:rPr>
          <w:noProof/>
        </w:rPr>
        <mc:AlternateContent>
          <mc:Choice Requires="wps">
            <w:drawing>
              <wp:anchor distT="3175" distB="3175" distL="3175" distR="3175" simplePos="0" relativeHeight="251740160" behindDoc="0" locked="0" layoutInCell="1" allowOverlap="1" wp14:anchorId="2BEB76D8" wp14:editId="033AFB43">
                <wp:simplePos x="0" y="0"/>
                <wp:positionH relativeFrom="column">
                  <wp:posOffset>1077595</wp:posOffset>
                </wp:positionH>
                <wp:positionV relativeFrom="paragraph">
                  <wp:posOffset>4125595</wp:posOffset>
                </wp:positionV>
                <wp:extent cx="629920" cy="207645"/>
                <wp:effectExtent l="0" t="0" r="0" b="0"/>
                <wp:wrapNone/>
                <wp:docPr id="62" name="Forme15"/>
                <wp:cNvGraphicFramePr/>
                <a:graphic xmlns:a="http://schemas.openxmlformats.org/drawingml/2006/main">
                  <a:graphicData uri="http://schemas.microsoft.com/office/word/2010/wordprocessingShape">
                    <wps:wsp>
                      <wps:cNvSpPr/>
                      <wps:spPr bwMode="auto">
                        <a:xfrm>
                          <a:off x="0" y="0"/>
                          <a:ext cx="629920" cy="207645"/>
                        </a:xfrm>
                        <a:prstGeom prst="rect">
                          <a:avLst/>
                        </a:prstGeom>
                        <a:solidFill>
                          <a:srgbClr val="E6EDF7"/>
                        </a:solidFill>
                        <a:ln w="6350">
                          <a:solidFill>
                            <a:srgbClr val="000000"/>
                          </a:solidFill>
                          <a:round/>
                        </a:ln>
                      </wps:spPr>
                      <wps:txbx>
                        <w:txbxContent>
                          <w:p w14:paraId="796AF1F7" w14:textId="77777777" w:rsidR="00716D4E" w:rsidRDefault="00716D4E" w:rsidP="004C51D4">
                            <w:pPr>
                              <w:pStyle w:val="Contenudecadre"/>
                              <w:jc w:val="center"/>
                              <w:rPr>
                                <w:color w:val="000000" w:themeColor="text1"/>
                                <w:sz w:val="14"/>
                                <w:szCs w:val="14"/>
                              </w:rPr>
                            </w:pPr>
                            <w:r>
                              <w:rPr>
                                <w:color w:val="000000" w:themeColor="text1"/>
                                <w:sz w:val="14"/>
                                <w:szCs w:val="14"/>
                              </w:rPr>
                              <w:t>CSE</w:t>
                            </w:r>
                          </w:p>
                        </w:txbxContent>
                      </wps:txbx>
                      <wps:bodyPr wrap="square" lIns="91440" tIns="45720" rIns="91440" bIns="45720" upright="1"/>
                    </wps:wsp>
                  </a:graphicData>
                </a:graphic>
              </wp:anchor>
            </w:drawing>
          </mc:Choice>
          <mc:Fallback>
            <w:pict>
              <v:rect w14:anchorId="2BEB76D8" id="Forme15" o:spid="_x0000_s1051" style="position:absolute;left:0;text-align:left;margin-left:84.85pt;margin-top:324.85pt;width:49.6pt;height:16.35pt;z-index:251740160;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" fillcolor="#e6edf7" strokeweight=".5pt">
                <v:stroke joinstyle="round"/>
                <v:textbox>
                  <w:txbxContent>
                    <w:p w14:paraId="796AF1F7" w14:textId="77777777" w:rsidR="00716D4E" w:rsidRDefault="00716D4E" w:rsidP="004C51D4">
                      <w:pPr>
                        <w:pStyle w:val="Contenudecadre"/>
                        <w:jc w:val="center"/>
                        <w:rPr>
                          <w:color w:val="000000" w:themeColor="text1"/>
                          <w:sz w:val="14"/>
                          <w:szCs w:val="14"/>
                        </w:rPr>
                      </w:pPr>
                      <w:r>
                        <w:rPr>
                          <w:color w:val="000000" w:themeColor="text1"/>
                          <w:sz w:val="14"/>
                          <w:szCs w:val="14"/>
                        </w:rPr>
                        <w:t>CSE</w:t>
                      </w:r>
                    </w:p>
                  </w:txbxContent>
                </v:textbox>
              </v:rect>
            </w:pict>
          </mc:Fallback>
        </mc:AlternateContent>
      </w:r>
      <w:r>
        <w:rPr>
          <w:noProof/>
        </w:rPr>
        <mc:AlternateContent>
          <mc:Choice Requires="wps">
            <w:drawing>
              <wp:anchor distT="3175" distB="3175" distL="3175" distR="3175" simplePos="0" relativeHeight="251741184" behindDoc="0" locked="0" layoutInCell="1" allowOverlap="1" wp14:anchorId="08C5F510" wp14:editId="2D571160">
                <wp:simplePos x="0" y="0"/>
                <wp:positionH relativeFrom="column">
                  <wp:posOffset>449580</wp:posOffset>
                </wp:positionH>
                <wp:positionV relativeFrom="paragraph">
                  <wp:posOffset>3562985</wp:posOffset>
                </wp:positionV>
                <wp:extent cx="824230" cy="405130"/>
                <wp:effectExtent l="0" t="0" r="0" b="0"/>
                <wp:wrapNone/>
                <wp:docPr id="63" name="Forme14"/>
                <wp:cNvGraphicFramePr/>
                <a:graphic xmlns:a="http://schemas.openxmlformats.org/drawingml/2006/main">
                  <a:graphicData uri="http://schemas.microsoft.com/office/word/2010/wordprocessingShape">
                    <wps:wsp>
                      <wps:cNvSpPr/>
                      <wps:spPr bwMode="auto">
                        <a:xfrm>
                          <a:off x="0" y="0"/>
                          <a:ext cx="824230" cy="405130"/>
                        </a:xfrm>
                        <a:prstGeom prst="rect">
                          <a:avLst/>
                        </a:prstGeom>
                        <a:solidFill>
                          <a:srgbClr val="E6EDF7"/>
                        </a:solidFill>
                        <a:ln w="6350">
                          <a:solidFill>
                            <a:srgbClr val="000000"/>
                          </a:solidFill>
                          <a:round/>
                        </a:ln>
                      </wps:spPr>
                      <wps:txbx>
                        <w:txbxContent>
                          <w:p w14:paraId="7FEE7B5D" w14:textId="77777777" w:rsidR="00716D4E" w:rsidRDefault="00716D4E" w:rsidP="004C51D4">
                            <w:pPr>
                              <w:pStyle w:val="Contenudecadre"/>
                              <w:jc w:val="center"/>
                              <w:rPr>
                                <w:color w:val="000000" w:themeColor="text1"/>
                                <w:sz w:val="14"/>
                                <w:szCs w:val="14"/>
                              </w:rPr>
                            </w:pPr>
                            <w:r>
                              <w:rPr>
                                <w:color w:val="000000" w:themeColor="text1"/>
                                <w:sz w:val="14"/>
                                <w:szCs w:val="14"/>
                              </w:rPr>
                              <w:t>Exploitants</w:t>
                            </w:r>
                          </w:p>
                          <w:p w14:paraId="7AFF8AD4" w14:textId="77777777" w:rsidR="00716D4E" w:rsidRDefault="00716D4E" w:rsidP="004C51D4">
                            <w:pPr>
                              <w:pStyle w:val="Contenudecadre"/>
                              <w:jc w:val="center"/>
                              <w:rPr>
                                <w:color w:val="000000" w:themeColor="text1"/>
                                <w:sz w:val="14"/>
                                <w:szCs w:val="14"/>
                              </w:rPr>
                            </w:pPr>
                            <w:r>
                              <w:rPr>
                                <w:color w:val="000000" w:themeColor="text1"/>
                                <w:sz w:val="14"/>
                                <w:szCs w:val="14"/>
                              </w:rPr>
                              <w:t>SARA</w:t>
                            </w:r>
                          </w:p>
                          <w:p w14:paraId="387DE485" w14:textId="070B38F7" w:rsidR="00716D4E" w:rsidRDefault="00716D4E" w:rsidP="004C51D4">
                            <w:pPr>
                              <w:pStyle w:val="Contenudecadre"/>
                              <w:jc w:val="center"/>
                              <w:rPr>
                                <w:color w:val="000000" w:themeColor="text1"/>
                                <w:sz w:val="14"/>
                                <w:szCs w:val="14"/>
                              </w:rPr>
                            </w:pPr>
                            <w:r>
                              <w:rPr>
                                <w:color w:val="000000" w:themeColor="text1"/>
                                <w:sz w:val="14"/>
                                <w:szCs w:val="14"/>
                              </w:rPr>
                              <w:t>Air Liquide</w:t>
                            </w:r>
                          </w:p>
                          <w:p w14:paraId="54951BA5" w14:textId="1922F15F" w:rsidR="00716D4E" w:rsidRDefault="00716D4E" w:rsidP="004C51D4">
                            <w:pPr>
                              <w:pStyle w:val="Contenudecadre"/>
                              <w:jc w:val="center"/>
                              <w:rPr>
                                <w:color w:val="000000" w:themeColor="text1"/>
                                <w:sz w:val="14"/>
                                <w:szCs w:val="14"/>
                              </w:rPr>
                            </w:pPr>
                            <w:r>
                              <w:rPr>
                                <w:color w:val="000000" w:themeColor="text1"/>
                                <w:sz w:val="14"/>
                                <w:szCs w:val="14"/>
                              </w:rPr>
                              <w:t>EDG</w:t>
                            </w:r>
                          </w:p>
                        </w:txbxContent>
                      </wps:txbx>
                      <wps:bodyPr wrap="square" lIns="91440" tIns="45720" rIns="91440" bIns="45720" upright="1"/>
                    </wps:wsp>
                  </a:graphicData>
                </a:graphic>
              </wp:anchor>
            </w:drawing>
          </mc:Choice>
          <mc:Fallback>
            <w:pict>
              <v:rect w14:anchorId="08C5F510" id="Forme14" o:spid="_x0000_s1052" style="position:absolute;left:0;text-align:left;margin-left:35.4pt;margin-top:280.55pt;width:64.9pt;height:31.9pt;z-index:251741184;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" fillcolor="#e6edf7" strokeweight=".5pt">
                <v:stroke joinstyle="round"/>
                <v:textbox>
                  <w:txbxContent>
                    <w:p w14:paraId="7FEE7B5D" w14:textId="77777777" w:rsidR="00716D4E" w:rsidRDefault="00716D4E" w:rsidP="004C51D4">
                      <w:pPr>
                        <w:pStyle w:val="Contenudecadre"/>
                        <w:jc w:val="center"/>
                        <w:rPr>
                          <w:color w:val="000000" w:themeColor="text1"/>
                          <w:sz w:val="14"/>
                          <w:szCs w:val="14"/>
                        </w:rPr>
                      </w:pPr>
                      <w:r>
                        <w:rPr>
                          <w:color w:val="000000" w:themeColor="text1"/>
                          <w:sz w:val="14"/>
                          <w:szCs w:val="14"/>
                        </w:rPr>
                        <w:t>Exploitants</w:t>
                      </w:r>
                    </w:p>
                    <w:p w14:paraId="7AFF8AD4" w14:textId="77777777" w:rsidR="00716D4E" w:rsidRDefault="00716D4E" w:rsidP="004C51D4">
                      <w:pPr>
                        <w:pStyle w:val="Contenudecadre"/>
                        <w:jc w:val="center"/>
                        <w:rPr>
                          <w:color w:val="000000" w:themeColor="text1"/>
                          <w:sz w:val="14"/>
                          <w:szCs w:val="14"/>
                        </w:rPr>
                      </w:pPr>
                      <w:r>
                        <w:rPr>
                          <w:color w:val="000000" w:themeColor="text1"/>
                          <w:sz w:val="14"/>
                          <w:szCs w:val="14"/>
                        </w:rPr>
                        <w:t>SARA</w:t>
                      </w:r>
                    </w:p>
                    <w:p w14:paraId="387DE485" w14:textId="070B38F7" w:rsidR="00716D4E" w:rsidRDefault="00716D4E" w:rsidP="004C51D4">
                      <w:pPr>
                        <w:pStyle w:val="Contenudecadre"/>
                        <w:jc w:val="center"/>
                        <w:rPr>
                          <w:color w:val="000000" w:themeColor="text1"/>
                          <w:sz w:val="14"/>
                          <w:szCs w:val="14"/>
                        </w:rPr>
                      </w:pPr>
                      <w:r>
                        <w:rPr>
                          <w:color w:val="000000" w:themeColor="text1"/>
                          <w:sz w:val="14"/>
                          <w:szCs w:val="14"/>
                        </w:rPr>
                        <w:t>Air Liquide</w:t>
                      </w:r>
                    </w:p>
                    <w:p w14:paraId="54951BA5" w14:textId="1922F15F" w:rsidR="00716D4E" w:rsidRDefault="00716D4E" w:rsidP="004C51D4">
                      <w:pPr>
                        <w:pStyle w:val="Contenudecadre"/>
                        <w:jc w:val="center"/>
                        <w:rPr>
                          <w:color w:val="000000" w:themeColor="text1"/>
                          <w:sz w:val="14"/>
                          <w:szCs w:val="14"/>
                        </w:rPr>
                      </w:pPr>
                      <w:r>
                        <w:rPr>
                          <w:color w:val="000000" w:themeColor="text1"/>
                          <w:sz w:val="14"/>
                          <w:szCs w:val="14"/>
                        </w:rPr>
                        <w:t>EDG</w:t>
                      </w:r>
                    </w:p>
                  </w:txbxContent>
                </v:textbox>
              </v:rect>
            </w:pict>
          </mc:Fallback>
        </mc:AlternateContent>
      </w:r>
      <w:r>
        <w:rPr>
          <w:noProof/>
        </w:rPr>
        <mc:AlternateContent>
          <mc:Choice Requires="wps">
            <w:drawing>
              <wp:anchor distT="3175" distB="3175" distL="3175" distR="3175" simplePos="0" relativeHeight="251742208" behindDoc="0" locked="0" layoutInCell="1" allowOverlap="1" wp14:anchorId="004260F1" wp14:editId="0D8DB650">
                <wp:simplePos x="0" y="0"/>
                <wp:positionH relativeFrom="column">
                  <wp:posOffset>234315</wp:posOffset>
                </wp:positionH>
                <wp:positionV relativeFrom="paragraph">
                  <wp:posOffset>3078480</wp:posOffset>
                </wp:positionV>
                <wp:extent cx="742315" cy="207645"/>
                <wp:effectExtent l="0" t="0" r="0" b="0"/>
                <wp:wrapNone/>
                <wp:docPr id="1748243840" name="Forme13"/>
                <wp:cNvGraphicFramePr/>
                <a:graphic xmlns:a="http://schemas.openxmlformats.org/drawingml/2006/main">
                  <a:graphicData uri="http://schemas.microsoft.com/office/word/2010/wordprocessingShape">
                    <wps:wsp>
                      <wps:cNvSpPr/>
                      <wps:spPr bwMode="auto">
                        <a:xfrm>
                          <a:off x="0" y="0"/>
                          <a:ext cx="742315" cy="207645"/>
                        </a:xfrm>
                        <a:prstGeom prst="rect">
                          <a:avLst/>
                        </a:prstGeom>
                        <a:solidFill>
                          <a:srgbClr val="E6EDF7"/>
                        </a:solidFill>
                        <a:ln w="6350">
                          <a:solidFill>
                            <a:srgbClr val="000000"/>
                          </a:solidFill>
                          <a:round/>
                        </a:ln>
                      </wps:spPr>
                      <wps:txbx>
                        <w:txbxContent>
                          <w:p w14:paraId="3D476BA6" w14:textId="77777777" w:rsidR="00716D4E" w:rsidRDefault="00716D4E" w:rsidP="004C51D4">
                            <w:pPr>
                              <w:pStyle w:val="Contenudecadre"/>
                              <w:jc w:val="center"/>
                              <w:rPr>
                                <w:color w:val="000000" w:themeColor="text1"/>
                                <w:sz w:val="14"/>
                                <w:szCs w:val="14"/>
                              </w:rPr>
                            </w:pPr>
                            <w:r>
                              <w:rPr>
                                <w:color w:val="000000" w:themeColor="text1"/>
                                <w:sz w:val="14"/>
                                <w:szCs w:val="14"/>
                              </w:rPr>
                              <w:t>Armateurs</w:t>
                            </w:r>
                          </w:p>
                        </w:txbxContent>
                      </wps:txbx>
                      <wps:bodyPr wrap="square" lIns="91440" tIns="45720" rIns="91440" bIns="45720" upright="1"/>
                    </wps:wsp>
                  </a:graphicData>
                </a:graphic>
              </wp:anchor>
            </w:drawing>
          </mc:Choice>
          <mc:Fallback>
            <w:pict>
              <v:rect w14:anchorId="004260F1" id="Forme13" o:spid="_x0000_s1053" style="position:absolute;left:0;text-align:left;margin-left:18.45pt;margin-top:242.4pt;width:58.45pt;height:16.35pt;z-index:251742208;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" fillcolor="#e6edf7" strokeweight=".5pt">
                <v:stroke joinstyle="round"/>
                <v:textbox>
                  <w:txbxContent>
                    <w:p w14:paraId="3D476BA6" w14:textId="77777777" w:rsidR="00716D4E" w:rsidRDefault="00716D4E" w:rsidP="004C51D4">
                      <w:pPr>
                        <w:pStyle w:val="Contenudecadre"/>
                        <w:jc w:val="center"/>
                        <w:rPr>
                          <w:color w:val="000000" w:themeColor="text1"/>
                          <w:sz w:val="14"/>
                          <w:szCs w:val="14"/>
                        </w:rPr>
                      </w:pPr>
                      <w:r>
                        <w:rPr>
                          <w:color w:val="000000" w:themeColor="text1"/>
                          <w:sz w:val="14"/>
                          <w:szCs w:val="14"/>
                        </w:rPr>
                        <w:t>Armateurs</w:t>
                      </w:r>
                    </w:p>
                  </w:txbxContent>
                </v:textbox>
              </v:rect>
            </w:pict>
          </mc:Fallback>
        </mc:AlternateContent>
      </w:r>
      <w:r>
        <w:rPr>
          <w:noProof/>
        </w:rPr>
        <mc:AlternateContent>
          <mc:Choice Requires="wps">
            <w:drawing>
              <wp:anchor distT="0" distB="0" distL="0" distR="0" simplePos="0" relativeHeight="251743232" behindDoc="0" locked="0" layoutInCell="1" allowOverlap="1" wp14:anchorId="1097D21A" wp14:editId="2B63EE08">
                <wp:simplePos x="0" y="0"/>
                <wp:positionH relativeFrom="column">
                  <wp:posOffset>194310</wp:posOffset>
                </wp:positionH>
                <wp:positionV relativeFrom="paragraph">
                  <wp:posOffset>2709545</wp:posOffset>
                </wp:positionV>
                <wp:extent cx="742315" cy="207645"/>
                <wp:effectExtent l="0" t="0" r="0" b="0"/>
                <wp:wrapNone/>
                <wp:docPr id="1748243841" name="Forme12"/>
                <wp:cNvGraphicFramePr/>
                <a:graphic xmlns:a="http://schemas.openxmlformats.org/drawingml/2006/main">
                  <a:graphicData uri="http://schemas.microsoft.com/office/word/2010/wordprocessingShape">
                    <wps:wsp>
                      <wps:cNvSpPr/>
                      <wps:spPr bwMode="auto">
                        <a:xfrm>
                          <a:off x="0" y="0"/>
                          <a:ext cx="742315" cy="207645"/>
                        </a:xfrm>
                        <a:prstGeom prst="rect">
                          <a:avLst/>
                        </a:prstGeom>
                        <a:solidFill>
                          <a:srgbClr val="E6EDF7"/>
                        </a:solidFill>
                        <a:ln w="6350">
                          <a:solidFill>
                            <a:srgbClr val="000000"/>
                          </a:solidFill>
                          <a:round/>
                        </a:ln>
                      </wps:spPr>
                      <wps:txbx>
                        <w:txbxContent>
                          <w:p w14:paraId="3ED3A256" w14:textId="77777777" w:rsidR="00716D4E" w:rsidRDefault="00716D4E" w:rsidP="004C51D4">
                            <w:pPr>
                              <w:pStyle w:val="Contenudecadre"/>
                              <w:jc w:val="center"/>
                              <w:rPr>
                                <w:color w:val="000000" w:themeColor="text1"/>
                                <w:sz w:val="14"/>
                                <w:szCs w:val="14"/>
                              </w:rPr>
                            </w:pPr>
                            <w:r>
                              <w:rPr>
                                <w:color w:val="000000" w:themeColor="text1"/>
                                <w:sz w:val="14"/>
                                <w:szCs w:val="14"/>
                              </w:rPr>
                              <w:t>UMEP</w:t>
                            </w:r>
                          </w:p>
                        </w:txbxContent>
                      </wps:txbx>
                      <wps:bodyPr wrap="square" lIns="91440" tIns="45720" rIns="91440" bIns="45720" upright="1"/>
                    </wps:wsp>
                  </a:graphicData>
                </a:graphic>
              </wp:anchor>
            </w:drawing>
          </mc:Choice>
          <mc:Fallback>
            <w:pict>
              <v:rect w14:anchorId="1097D21A" id="Forme12" o:spid="_x0000_s1054" style="position:absolute;left:0;text-align:left;margin-left:15.3pt;margin-top:213.35pt;width:58.45pt;height:16.35pt;z-index:25174323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" fillcolor="#e6edf7" strokeweight=".5pt">
                <v:stroke joinstyle="round"/>
                <v:textbox>
                  <w:txbxContent>
                    <w:p w14:paraId="3ED3A256" w14:textId="77777777" w:rsidR="00716D4E" w:rsidRDefault="00716D4E" w:rsidP="004C51D4">
                      <w:pPr>
                        <w:pStyle w:val="Contenudecadre"/>
                        <w:jc w:val="center"/>
                        <w:rPr>
                          <w:color w:val="000000" w:themeColor="text1"/>
                          <w:sz w:val="14"/>
                          <w:szCs w:val="14"/>
                        </w:rPr>
                      </w:pPr>
                      <w:r>
                        <w:rPr>
                          <w:color w:val="000000" w:themeColor="text1"/>
                          <w:sz w:val="14"/>
                          <w:szCs w:val="14"/>
                        </w:rPr>
                        <w:t>UMEP</w:t>
                      </w:r>
                    </w:p>
                  </w:txbxContent>
                </v:textbox>
              </v:rect>
            </w:pict>
          </mc:Fallback>
        </mc:AlternateContent>
      </w:r>
      <w:r>
        <w:rPr>
          <w:noProof/>
        </w:rPr>
        <mc:AlternateContent>
          <mc:Choice Requires="wps">
            <w:drawing>
              <wp:anchor distT="3175" distB="3175" distL="3175" distR="3175" simplePos="0" relativeHeight="251744256" behindDoc="0" locked="0" layoutInCell="1" allowOverlap="1" wp14:anchorId="33AF6E3C" wp14:editId="6C24C671">
                <wp:simplePos x="0" y="0"/>
                <wp:positionH relativeFrom="column">
                  <wp:posOffset>194310</wp:posOffset>
                </wp:positionH>
                <wp:positionV relativeFrom="paragraph">
                  <wp:posOffset>2127885</wp:posOffset>
                </wp:positionV>
                <wp:extent cx="742315" cy="313690"/>
                <wp:effectExtent l="0" t="0" r="0" b="0"/>
                <wp:wrapNone/>
                <wp:docPr id="1748243842" name="Forme11"/>
                <wp:cNvGraphicFramePr/>
                <a:graphic xmlns:a="http://schemas.openxmlformats.org/drawingml/2006/main">
                  <a:graphicData uri="http://schemas.microsoft.com/office/word/2010/wordprocessingShape">
                    <wps:wsp>
                      <wps:cNvSpPr/>
                      <wps:spPr bwMode="auto">
                        <a:xfrm>
                          <a:off x="0" y="0"/>
                          <a:ext cx="742315" cy="313690"/>
                        </a:xfrm>
                        <a:prstGeom prst="rect">
                          <a:avLst/>
                        </a:prstGeom>
                        <a:solidFill>
                          <a:srgbClr val="E6EDF7"/>
                        </a:solidFill>
                        <a:ln w="6350">
                          <a:solidFill>
                            <a:srgbClr val="000000"/>
                          </a:solidFill>
                          <a:round/>
                        </a:ln>
                      </wps:spPr>
                      <wps:txbx>
                        <w:txbxContent>
                          <w:p w14:paraId="358F5A10" w14:textId="77777777" w:rsidR="00716D4E" w:rsidRDefault="00716D4E" w:rsidP="004C51D4">
                            <w:pPr>
                              <w:pStyle w:val="Contenudecadre"/>
                              <w:jc w:val="center"/>
                              <w:rPr>
                                <w:color w:val="000000" w:themeColor="text1"/>
                                <w:sz w:val="14"/>
                                <w:szCs w:val="14"/>
                              </w:rPr>
                            </w:pPr>
                            <w:r>
                              <w:rPr>
                                <w:color w:val="000000" w:themeColor="text1"/>
                                <w:sz w:val="14"/>
                                <w:szCs w:val="14"/>
                              </w:rPr>
                              <w:t>Bénéficiaires AOT</w:t>
                            </w:r>
                          </w:p>
                        </w:txbxContent>
                      </wps:txbx>
                      <wps:bodyPr wrap="square" lIns="91440" tIns="45720" rIns="91440" bIns="45720" upright="1"/>
                    </wps:wsp>
                  </a:graphicData>
                </a:graphic>
              </wp:anchor>
            </w:drawing>
          </mc:Choice>
          <mc:Fallback>
            <w:pict>
              <v:rect w14:anchorId="33AF6E3C" id="Forme11" o:spid="_x0000_s1055" style="position:absolute;left:0;text-align:left;margin-left:15.3pt;margin-top:167.55pt;width:58.45pt;height:24.7pt;z-index:251744256;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" fillcolor="#e6edf7" strokeweight=".5pt">
                <v:stroke joinstyle="round"/>
                <v:textbox>
                  <w:txbxContent>
                    <w:p w14:paraId="358F5A10" w14:textId="77777777" w:rsidR="00716D4E" w:rsidRDefault="00716D4E" w:rsidP="004C51D4">
                      <w:pPr>
                        <w:pStyle w:val="Contenudecadre"/>
                        <w:jc w:val="center"/>
                        <w:rPr>
                          <w:color w:val="000000" w:themeColor="text1"/>
                          <w:sz w:val="14"/>
                          <w:szCs w:val="14"/>
                        </w:rPr>
                      </w:pPr>
                      <w:r>
                        <w:rPr>
                          <w:color w:val="000000" w:themeColor="text1"/>
                          <w:sz w:val="14"/>
                          <w:szCs w:val="14"/>
                        </w:rPr>
                        <w:t>Bénéficiaires AOT</w:t>
                      </w:r>
                    </w:p>
                  </w:txbxContent>
                </v:textbox>
              </v:rect>
            </w:pict>
          </mc:Fallback>
        </mc:AlternateContent>
      </w:r>
      <w:r>
        <w:rPr>
          <w:noProof/>
        </w:rPr>
        <mc:AlternateContent>
          <mc:Choice Requires="wps">
            <w:drawing>
              <wp:anchor distT="3175" distB="3175" distL="3175" distR="3175" simplePos="0" relativeHeight="251745280" behindDoc="0" locked="0" layoutInCell="1" allowOverlap="1" wp14:anchorId="59DDC44D" wp14:editId="2BC0A381">
                <wp:simplePos x="0" y="0"/>
                <wp:positionH relativeFrom="column">
                  <wp:posOffset>817245</wp:posOffset>
                </wp:positionH>
                <wp:positionV relativeFrom="paragraph">
                  <wp:posOffset>1073785</wp:posOffset>
                </wp:positionV>
                <wp:extent cx="742315" cy="334010"/>
                <wp:effectExtent l="0" t="0" r="0" b="0"/>
                <wp:wrapNone/>
                <wp:docPr id="1748243843" name="Forme10"/>
                <wp:cNvGraphicFramePr/>
                <a:graphic xmlns:a="http://schemas.openxmlformats.org/drawingml/2006/main">
                  <a:graphicData uri="http://schemas.microsoft.com/office/word/2010/wordprocessingShape">
                    <wps:wsp>
                      <wps:cNvSpPr/>
                      <wps:spPr bwMode="auto">
                        <a:xfrm>
                          <a:off x="0" y="0"/>
                          <a:ext cx="742315" cy="334010"/>
                        </a:xfrm>
                        <a:prstGeom prst="rect">
                          <a:avLst/>
                        </a:prstGeom>
                        <a:solidFill>
                          <a:srgbClr val="E6EDF7"/>
                        </a:solidFill>
                        <a:ln w="6350">
                          <a:solidFill>
                            <a:srgbClr val="000000"/>
                          </a:solidFill>
                          <a:round/>
                        </a:ln>
                      </wps:spPr>
                      <wps:txbx>
                        <w:txbxContent>
                          <w:p w14:paraId="38C7CAD8" w14:textId="77777777" w:rsidR="00716D4E" w:rsidRDefault="00716D4E" w:rsidP="004C51D4">
                            <w:pPr>
                              <w:pStyle w:val="Contenudecadre"/>
                              <w:jc w:val="center"/>
                              <w:rPr>
                                <w:color w:val="000000" w:themeColor="text1"/>
                                <w:sz w:val="14"/>
                                <w:szCs w:val="14"/>
                              </w:rPr>
                            </w:pPr>
                            <w:r>
                              <w:rPr>
                                <w:color w:val="000000" w:themeColor="text1"/>
                                <w:sz w:val="14"/>
                                <w:szCs w:val="14"/>
                              </w:rPr>
                              <w:t>Pilotage / Lamanage</w:t>
                            </w:r>
                          </w:p>
                        </w:txbxContent>
                      </wps:txbx>
                      <wps:bodyPr wrap="square" lIns="91440" tIns="45720" rIns="91440" bIns="45720" upright="1"/>
                    </wps:wsp>
                  </a:graphicData>
                </a:graphic>
              </wp:anchor>
            </w:drawing>
          </mc:Choice>
          <mc:Fallback>
            <w:pict>
              <v:rect w14:anchorId="59DDC44D" id="Forme10" o:spid="_x0000_s1056" style="position:absolute;left:0;text-align:left;margin-left:64.35pt;margin-top:84.55pt;width:58.45pt;height:26.3pt;z-index:251745280;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" fillcolor="#e6edf7" strokeweight=".5pt">
                <v:stroke joinstyle="round"/>
                <v:textbox>
                  <w:txbxContent>
                    <w:p w14:paraId="38C7CAD8" w14:textId="77777777" w:rsidR="00716D4E" w:rsidRDefault="00716D4E" w:rsidP="004C51D4">
                      <w:pPr>
                        <w:pStyle w:val="Contenudecadre"/>
                        <w:jc w:val="center"/>
                        <w:rPr>
                          <w:color w:val="000000" w:themeColor="text1"/>
                          <w:sz w:val="14"/>
                          <w:szCs w:val="14"/>
                        </w:rPr>
                      </w:pPr>
                      <w:r>
                        <w:rPr>
                          <w:color w:val="000000" w:themeColor="text1"/>
                          <w:sz w:val="14"/>
                          <w:szCs w:val="14"/>
                        </w:rPr>
                        <w:t>Pilotage / Lamanage</w:t>
                      </w:r>
                    </w:p>
                  </w:txbxContent>
                </v:textbox>
              </v:rect>
            </w:pict>
          </mc:Fallback>
        </mc:AlternateContent>
      </w:r>
      <w:r>
        <w:rPr>
          <w:noProof/>
        </w:rPr>
        <mc:AlternateContent>
          <mc:Choice Requires="wps">
            <w:drawing>
              <wp:anchor distT="3175" distB="3175" distL="3175" distR="3175" simplePos="0" relativeHeight="251746304" behindDoc="0" locked="0" layoutInCell="1" allowOverlap="1" wp14:anchorId="184D4410" wp14:editId="6738D621">
                <wp:simplePos x="0" y="0"/>
                <wp:positionH relativeFrom="column">
                  <wp:posOffset>1880870</wp:posOffset>
                </wp:positionH>
                <wp:positionV relativeFrom="paragraph">
                  <wp:posOffset>324485</wp:posOffset>
                </wp:positionV>
                <wp:extent cx="1095375" cy="510540"/>
                <wp:effectExtent l="0" t="0" r="0" b="0"/>
                <wp:wrapNone/>
                <wp:docPr id="1748243844" name="Forme9"/>
                <wp:cNvGraphicFramePr/>
                <a:graphic xmlns:a="http://schemas.openxmlformats.org/drawingml/2006/main">
                  <a:graphicData uri="http://schemas.microsoft.com/office/word/2010/wordprocessingShape">
                    <wps:wsp>
                      <wps:cNvSpPr/>
                      <wps:spPr bwMode="auto">
                        <a:xfrm>
                          <a:off x="0" y="0"/>
                          <a:ext cx="1095375" cy="510540"/>
                        </a:xfrm>
                        <a:prstGeom prst="rect">
                          <a:avLst/>
                        </a:prstGeom>
                        <a:solidFill>
                          <a:srgbClr val="E6EDF7"/>
                        </a:solidFill>
                        <a:ln w="6350">
                          <a:solidFill>
                            <a:srgbClr val="000000"/>
                          </a:solidFill>
                          <a:round/>
                        </a:ln>
                      </wps:spPr>
                      <wps:txbx>
                        <w:txbxContent>
                          <w:p w14:paraId="7CA4910E" w14:textId="77777777" w:rsidR="00716D4E" w:rsidRDefault="00716D4E" w:rsidP="004C51D4">
                            <w:pPr>
                              <w:pStyle w:val="Contenudecadre"/>
                              <w:jc w:val="center"/>
                              <w:rPr>
                                <w:color w:val="000000" w:themeColor="text1"/>
                                <w:sz w:val="14"/>
                                <w:szCs w:val="14"/>
                              </w:rPr>
                            </w:pPr>
                            <w:r>
                              <w:rPr>
                                <w:color w:val="000000" w:themeColor="text1"/>
                                <w:sz w:val="14"/>
                                <w:szCs w:val="14"/>
                              </w:rPr>
                              <w:t>Services de l’État</w:t>
                            </w:r>
                          </w:p>
                          <w:p w14:paraId="505DD007" w14:textId="77777777" w:rsidR="00716D4E" w:rsidRDefault="00716D4E" w:rsidP="004C51D4">
                            <w:pPr>
                              <w:pStyle w:val="Contenudecadre"/>
                              <w:jc w:val="center"/>
                              <w:rPr>
                                <w:color w:val="000000" w:themeColor="text1"/>
                                <w:sz w:val="14"/>
                                <w:szCs w:val="14"/>
                              </w:rPr>
                            </w:pPr>
                            <w:r>
                              <w:rPr>
                                <w:color w:val="000000" w:themeColor="text1"/>
                                <w:sz w:val="14"/>
                                <w:szCs w:val="14"/>
                              </w:rPr>
                              <w:t>Douanes</w:t>
                            </w:r>
                          </w:p>
                          <w:p w14:paraId="3A0285D1" w14:textId="77777777" w:rsidR="00716D4E" w:rsidRDefault="00716D4E" w:rsidP="004C51D4">
                            <w:pPr>
                              <w:pStyle w:val="Contenudecadre"/>
                              <w:jc w:val="center"/>
                              <w:rPr>
                                <w:color w:val="000000" w:themeColor="text1"/>
                                <w:sz w:val="14"/>
                                <w:szCs w:val="14"/>
                              </w:rPr>
                            </w:pPr>
                            <w:r>
                              <w:rPr>
                                <w:color w:val="000000" w:themeColor="text1"/>
                                <w:sz w:val="14"/>
                                <w:szCs w:val="14"/>
                              </w:rPr>
                              <w:t>SIVEP</w:t>
                            </w:r>
                          </w:p>
                          <w:p w14:paraId="0DD484A3" w14:textId="689346B2" w:rsidR="00716D4E" w:rsidRDefault="00716D4E" w:rsidP="004C51D4">
                            <w:pPr>
                              <w:pStyle w:val="Contenudecadre"/>
                              <w:jc w:val="center"/>
                              <w:rPr>
                                <w:color w:val="000000" w:themeColor="text1"/>
                                <w:sz w:val="14"/>
                                <w:szCs w:val="14"/>
                              </w:rPr>
                            </w:pPr>
                            <w:r w:rsidRPr="00B9144B">
                              <w:rPr>
                                <w:color w:val="000000" w:themeColor="text1"/>
                                <w:sz w:val="14"/>
                                <w:szCs w:val="14"/>
                              </w:rPr>
                              <w:t>DGTM</w:t>
                            </w:r>
                          </w:p>
                        </w:txbxContent>
                      </wps:txbx>
                      <wps:bodyPr wrap="square" lIns="91440" tIns="45720" rIns="91440" bIns="45720" upright="1"/>
                    </wps:wsp>
                  </a:graphicData>
                </a:graphic>
              </wp:anchor>
            </w:drawing>
          </mc:Choice>
          <mc:Fallback>
            <w:pict>
              <v:rect w14:anchorId="184D4410" id="Forme9" o:spid="_x0000_s1057" style="position:absolute;left:0;text-align:left;margin-left:148.1pt;margin-top:25.55pt;width:86.25pt;height:40.2pt;z-index:251746304;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" fillcolor="#e6edf7" strokeweight=".5pt">
                <v:stroke joinstyle="round"/>
                <v:textbox>
                  <w:txbxContent>
                    <w:p w14:paraId="7CA4910E" w14:textId="77777777" w:rsidR="00716D4E" w:rsidRDefault="00716D4E" w:rsidP="004C51D4">
                      <w:pPr>
                        <w:pStyle w:val="Contenudecadre"/>
                        <w:jc w:val="center"/>
                        <w:rPr>
                          <w:color w:val="000000" w:themeColor="text1"/>
                          <w:sz w:val="14"/>
                          <w:szCs w:val="14"/>
                        </w:rPr>
                      </w:pPr>
                      <w:r>
                        <w:rPr>
                          <w:color w:val="000000" w:themeColor="text1"/>
                          <w:sz w:val="14"/>
                          <w:szCs w:val="14"/>
                        </w:rPr>
                        <w:t>Services de l’État</w:t>
                      </w:r>
                    </w:p>
                    <w:p w14:paraId="505DD007" w14:textId="77777777" w:rsidR="00716D4E" w:rsidRDefault="00716D4E" w:rsidP="004C51D4">
                      <w:pPr>
                        <w:pStyle w:val="Contenudecadre"/>
                        <w:jc w:val="center"/>
                        <w:rPr>
                          <w:color w:val="000000" w:themeColor="text1"/>
                          <w:sz w:val="14"/>
                          <w:szCs w:val="14"/>
                        </w:rPr>
                      </w:pPr>
                      <w:r>
                        <w:rPr>
                          <w:color w:val="000000" w:themeColor="text1"/>
                          <w:sz w:val="14"/>
                          <w:szCs w:val="14"/>
                        </w:rPr>
                        <w:t>Douanes</w:t>
                      </w:r>
                    </w:p>
                    <w:p w14:paraId="3A0285D1" w14:textId="77777777" w:rsidR="00716D4E" w:rsidRDefault="00716D4E" w:rsidP="004C51D4">
                      <w:pPr>
                        <w:pStyle w:val="Contenudecadre"/>
                        <w:jc w:val="center"/>
                        <w:rPr>
                          <w:color w:val="000000" w:themeColor="text1"/>
                          <w:sz w:val="14"/>
                          <w:szCs w:val="14"/>
                        </w:rPr>
                      </w:pPr>
                      <w:r>
                        <w:rPr>
                          <w:color w:val="000000" w:themeColor="text1"/>
                          <w:sz w:val="14"/>
                          <w:szCs w:val="14"/>
                        </w:rPr>
                        <w:t>SIVEP</w:t>
                      </w:r>
                    </w:p>
                    <w:p w14:paraId="0DD484A3" w14:textId="689346B2" w:rsidR="00716D4E" w:rsidRDefault="00716D4E" w:rsidP="004C51D4">
                      <w:pPr>
                        <w:pStyle w:val="Contenudecadre"/>
                        <w:jc w:val="center"/>
                        <w:rPr>
                          <w:color w:val="000000" w:themeColor="text1"/>
                          <w:sz w:val="14"/>
                          <w:szCs w:val="14"/>
                        </w:rPr>
                      </w:pPr>
                      <w:r w:rsidRPr="00B9144B">
                        <w:rPr>
                          <w:color w:val="000000" w:themeColor="text1"/>
                          <w:sz w:val="14"/>
                          <w:szCs w:val="14"/>
                        </w:rPr>
                        <w:t>DGTM</w:t>
                      </w:r>
                    </w:p>
                  </w:txbxContent>
                </v:textbox>
              </v:rect>
            </w:pict>
          </mc:Fallback>
        </mc:AlternateContent>
      </w:r>
      <w:r>
        <w:rPr>
          <w:noProof/>
        </w:rPr>
        <w:drawing>
          <wp:inline distT="0" distB="0" distL="0" distR="0" wp14:anchorId="0A7B924C" wp14:editId="41A82D13">
            <wp:extent cx="6817995" cy="5417820"/>
            <wp:effectExtent l="0" t="0" r="0" b="0"/>
            <wp:docPr id="1748243850"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079516" name="Image3"/>
                    <pic:cNvPicPr>
                      <a:picLocks noChangeAspect="1"/>
                    </pic:cNvPicPr>
                  </pic:nvPicPr>
                  <pic:blipFill>
                    <a:blip r:embed="rId13"/>
                    <a:stretch/>
                  </pic:blipFill>
                  <pic:spPr bwMode="auto">
                    <a:xfrm>
                      <a:off x="0" y="0"/>
                      <a:ext cx="6817995" cy="5417820"/>
                    </a:xfrm>
                    <a:prstGeom prst="rect">
                      <a:avLst/>
                    </a:prstGeom>
                  </pic:spPr>
                </pic:pic>
              </a:graphicData>
            </a:graphic>
          </wp:inline>
        </w:drawing>
      </w:r>
      <w:r>
        <w:rPr>
          <w:noProof/>
        </w:rPr>
        <mc:AlternateContent>
          <mc:Choice Requires="wps">
            <w:drawing>
              <wp:anchor distT="0" distB="0" distL="0" distR="0" simplePos="0" relativeHeight="251712512" behindDoc="0" locked="0" layoutInCell="1" allowOverlap="1" wp14:anchorId="6BD605F8" wp14:editId="0CAFF3A8">
                <wp:simplePos x="0" y="0"/>
                <wp:positionH relativeFrom="column">
                  <wp:posOffset>2273935</wp:posOffset>
                </wp:positionH>
                <wp:positionV relativeFrom="paragraph">
                  <wp:posOffset>3562985</wp:posOffset>
                </wp:positionV>
                <wp:extent cx="978535" cy="198120"/>
                <wp:effectExtent l="0" t="0" r="0" b="0"/>
                <wp:wrapNone/>
                <wp:docPr id="1748243845" name="Forme39"/>
                <wp:cNvGraphicFramePr/>
                <a:graphic xmlns:a="http://schemas.openxmlformats.org/drawingml/2006/main">
                  <a:graphicData uri="http://schemas.microsoft.com/office/word/2010/wordprocessingShape">
                    <wps:wsp>
                      <wps:cNvSpPr/>
                      <wps:spPr bwMode="auto">
                        <a:xfrm>
                          <a:off x="0" y="0"/>
                          <a:ext cx="978535" cy="198120"/>
                        </a:xfrm>
                        <a:prstGeom prst="rect">
                          <a:avLst/>
                        </a:prstGeom>
                        <a:solidFill>
                          <a:srgbClr val="FFFFFF"/>
                        </a:solidFill>
                        <a:ln w="6350">
                          <a:solidFill>
                            <a:srgbClr val="000000"/>
                          </a:solidFill>
                          <a:round/>
                        </a:ln>
                      </wps:spPr>
                      <wps:txbx>
                        <w:txbxContent>
                          <w:p w14:paraId="36E4A549" w14:textId="77777777" w:rsidR="00716D4E" w:rsidRDefault="00716D4E" w:rsidP="004C51D4">
                            <w:pPr>
                              <w:pStyle w:val="Contenudecadre"/>
                              <w:rPr>
                                <w:sz w:val="14"/>
                                <w:szCs w:val="14"/>
                              </w:rPr>
                            </w:pPr>
                            <w:r>
                              <w:rPr>
                                <w:sz w:val="14"/>
                                <w:szCs w:val="14"/>
                              </w:rPr>
                              <w:t>Pilotage stratégique</w:t>
                            </w:r>
                          </w:p>
                        </w:txbxContent>
                      </wps:txbx>
                      <wps:bodyPr wrap="square" lIns="91440" tIns="45720" rIns="91440" bIns="45720" upright="1"/>
                    </wps:wsp>
                  </a:graphicData>
                </a:graphic>
              </wp:anchor>
            </w:drawing>
          </mc:Choice>
          <mc:Fallback>
            <w:pict>
              <v:rect w14:anchorId="6BD605F8" id="Forme39" o:spid="_x0000_s1058" style="position:absolute;left:0;text-align:left;margin-left:179.05pt;margin-top:280.55pt;width:77.05pt;height:15.6pt;z-index:2517125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" strokeweight=".5pt">
                <v:stroke joinstyle="round"/>
                <v:textbox>
                  <w:txbxContent>
                    <w:p w14:paraId="36E4A549" w14:textId="77777777" w:rsidR="00716D4E" w:rsidRDefault="00716D4E" w:rsidP="004C51D4">
                      <w:pPr>
                        <w:pStyle w:val="Contenudecadre"/>
                        <w:rPr>
                          <w:sz w:val="14"/>
                          <w:szCs w:val="14"/>
                        </w:rPr>
                      </w:pPr>
                      <w:r>
                        <w:rPr>
                          <w:sz w:val="14"/>
                          <w:szCs w:val="14"/>
                        </w:rPr>
                        <w:t>Pilotage stratégique</w:t>
                      </w:r>
                    </w:p>
                  </w:txbxContent>
                </v:textbox>
              </v:rect>
            </w:pict>
          </mc:Fallback>
        </mc:AlternateContent>
      </w:r>
      <w:r>
        <w:rPr>
          <w:noProof/>
        </w:rPr>
        <mc:AlternateContent>
          <mc:Choice Requires="wps">
            <w:drawing>
              <wp:anchor distT="3175" distB="3175" distL="3175" distR="3175" simplePos="0" relativeHeight="251713536" behindDoc="0" locked="0" layoutInCell="1" allowOverlap="1" wp14:anchorId="5523318C" wp14:editId="4230A692">
                <wp:simplePos x="0" y="0"/>
                <wp:positionH relativeFrom="column">
                  <wp:posOffset>3874135</wp:posOffset>
                </wp:positionH>
                <wp:positionV relativeFrom="paragraph">
                  <wp:posOffset>3365500</wp:posOffset>
                </wp:positionV>
                <wp:extent cx="972820" cy="297180"/>
                <wp:effectExtent l="0" t="0" r="0" b="0"/>
                <wp:wrapNone/>
                <wp:docPr id="1748243846" name="Forme38"/>
                <wp:cNvGraphicFramePr/>
                <a:graphic xmlns:a="http://schemas.openxmlformats.org/drawingml/2006/main">
                  <a:graphicData uri="http://schemas.microsoft.com/office/word/2010/wordprocessingShape">
                    <wps:wsp>
                      <wps:cNvSpPr/>
                      <wps:spPr bwMode="auto">
                        <a:xfrm>
                          <a:off x="0" y="0"/>
                          <a:ext cx="972819" cy="297180"/>
                        </a:xfrm>
                        <a:prstGeom prst="rect">
                          <a:avLst/>
                        </a:prstGeom>
                        <a:solidFill>
                          <a:srgbClr val="FFFFFF"/>
                        </a:solidFill>
                        <a:ln w="6350">
                          <a:solidFill>
                            <a:srgbClr val="000000"/>
                          </a:solidFill>
                          <a:round/>
                        </a:ln>
                      </wps:spPr>
                      <wps:txbx>
                        <w:txbxContent>
                          <w:p w14:paraId="7B795C74" w14:textId="77777777" w:rsidR="00716D4E" w:rsidRDefault="00716D4E" w:rsidP="004C51D4">
                            <w:pPr>
                              <w:pStyle w:val="Contenudecadre"/>
                              <w:rPr>
                                <w:sz w:val="14"/>
                                <w:szCs w:val="14"/>
                              </w:rPr>
                            </w:pPr>
                            <w:r>
                              <w:rPr>
                                <w:sz w:val="14"/>
                                <w:szCs w:val="14"/>
                              </w:rPr>
                              <w:t>Comité technique / équipe ressource</w:t>
                            </w:r>
                          </w:p>
                        </w:txbxContent>
                      </wps:txbx>
                      <wps:bodyPr wrap="square" lIns="91440" tIns="45720" rIns="91440" bIns="45720" upright="1"/>
                    </wps:wsp>
                  </a:graphicData>
                </a:graphic>
              </wp:anchor>
            </w:drawing>
          </mc:Choice>
          <mc:Fallback>
            <w:pict>
              <v:rect w14:anchorId="5523318C" id="Forme38" o:spid="_x0000_s1059" style="position:absolute;left:0;text-align:left;margin-left:305.05pt;margin-top:265pt;width:76.6pt;height:23.4pt;z-index:251713536;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" strokeweight=".5pt">
                <v:stroke joinstyle="round"/>
                <v:textbox>
                  <w:txbxContent>
                    <w:p w14:paraId="7B795C74" w14:textId="77777777" w:rsidR="00716D4E" w:rsidRDefault="00716D4E" w:rsidP="004C51D4">
                      <w:pPr>
                        <w:pStyle w:val="Contenudecadre"/>
                        <w:rPr>
                          <w:sz w:val="14"/>
                          <w:szCs w:val="14"/>
                        </w:rPr>
                      </w:pPr>
                      <w:r>
                        <w:rPr>
                          <w:sz w:val="14"/>
                          <w:szCs w:val="14"/>
                        </w:rPr>
                        <w:t>Comité technique / équipe ressource</w:t>
                      </w:r>
                    </w:p>
                  </w:txbxContent>
                </v:textbox>
              </v:rect>
            </w:pict>
          </mc:Fallback>
        </mc:AlternateContent>
      </w:r>
      <w:r>
        <w:rPr>
          <w:noProof/>
        </w:rPr>
        <mc:AlternateContent>
          <mc:Choice Requires="wps">
            <w:drawing>
              <wp:anchor distT="3175" distB="3175" distL="3175" distR="3175" simplePos="0" relativeHeight="251719680" behindDoc="0" locked="0" layoutInCell="1" allowOverlap="1" wp14:anchorId="205D9947" wp14:editId="02B403EF">
                <wp:simplePos x="0" y="0"/>
                <wp:positionH relativeFrom="column">
                  <wp:posOffset>2480945</wp:posOffset>
                </wp:positionH>
                <wp:positionV relativeFrom="paragraph">
                  <wp:posOffset>2661285</wp:posOffset>
                </wp:positionV>
                <wp:extent cx="551180" cy="262255"/>
                <wp:effectExtent l="0" t="0" r="0" b="0"/>
                <wp:wrapNone/>
                <wp:docPr id="1748243848" name="Forme41"/>
                <wp:cNvGraphicFramePr/>
                <a:graphic xmlns:a="http://schemas.openxmlformats.org/drawingml/2006/main">
                  <a:graphicData uri="http://schemas.microsoft.com/office/word/2010/wordprocessingShape">
                    <wps:wsp>
                      <wps:cNvSpPr/>
                      <wps:spPr bwMode="auto">
                        <a:xfrm>
                          <a:off x="0" y="0"/>
                          <a:ext cx="551180" cy="262255"/>
                        </a:xfrm>
                        <a:prstGeom prst="rect">
                          <a:avLst/>
                        </a:prstGeom>
                        <a:solidFill>
                          <a:srgbClr val="CAC8ED"/>
                        </a:solidFill>
                        <a:ln w="6350">
                          <a:solidFill>
                            <a:srgbClr val="000000"/>
                          </a:solidFill>
                          <a:round/>
                        </a:ln>
                      </wps:spPr>
                      <wps:txbx>
                        <w:txbxContent>
                          <w:p w14:paraId="727A2638" w14:textId="77777777" w:rsidR="00716D4E" w:rsidRDefault="00716D4E" w:rsidP="004C51D4">
                            <w:pPr>
                              <w:pStyle w:val="Contenudecadre"/>
                              <w:jc w:val="center"/>
                              <w:rPr>
                                <w:color w:val="000000" w:themeColor="text1"/>
                                <w:sz w:val="18"/>
                                <w:szCs w:val="18"/>
                              </w:rPr>
                            </w:pPr>
                            <w:r>
                              <w:rPr>
                                <w:color w:val="000000" w:themeColor="text1"/>
                                <w:sz w:val="18"/>
                                <w:szCs w:val="18"/>
                              </w:rPr>
                              <w:t>CNES</w:t>
                            </w:r>
                          </w:p>
                        </w:txbxContent>
                      </wps:txbx>
                      <wps:bodyPr wrap="square" lIns="91440" tIns="45720" rIns="91440" bIns="45720" upright="1"/>
                    </wps:wsp>
                  </a:graphicData>
                </a:graphic>
              </wp:anchor>
            </w:drawing>
          </mc:Choice>
          <mc:Fallback>
            <w:pict>
              <v:rect w14:anchorId="205D9947" id="Forme41" o:spid="_x0000_s1060" style="position:absolute;left:0;text-align:left;margin-left:195.35pt;margin-top:209.55pt;width:43.4pt;height:20.65pt;z-index:251719680;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" fillcolor="#cac8ed" strokeweight=".5pt">
                <v:stroke joinstyle="round"/>
                <v:textbox>
                  <w:txbxContent>
                    <w:p w14:paraId="727A2638" w14:textId="77777777" w:rsidR="00716D4E" w:rsidRDefault="00716D4E" w:rsidP="004C51D4">
                      <w:pPr>
                        <w:pStyle w:val="Contenudecadre"/>
                        <w:jc w:val="center"/>
                        <w:rPr>
                          <w:color w:val="000000" w:themeColor="text1"/>
                          <w:sz w:val="18"/>
                          <w:szCs w:val="18"/>
                        </w:rPr>
                      </w:pPr>
                      <w:r>
                        <w:rPr>
                          <w:color w:val="000000" w:themeColor="text1"/>
                          <w:sz w:val="18"/>
                          <w:szCs w:val="18"/>
                        </w:rPr>
                        <w:t>CNES</w:t>
                      </w:r>
                    </w:p>
                  </w:txbxContent>
                </v:textbox>
              </v:rect>
            </w:pict>
          </mc:Fallback>
        </mc:AlternateContent>
      </w:r>
      <w:r>
        <w:rPr>
          <w:noProof/>
        </w:rPr>
        <mc:AlternateContent>
          <mc:Choice Requires="wps">
            <w:drawing>
              <wp:anchor distT="3175" distB="3175" distL="3175" distR="3175" simplePos="0" relativeHeight="251720704" behindDoc="0" locked="0" layoutInCell="1" allowOverlap="1" wp14:anchorId="17C218A4" wp14:editId="0C380CC5">
                <wp:simplePos x="0" y="0"/>
                <wp:positionH relativeFrom="column">
                  <wp:posOffset>4131945</wp:posOffset>
                </wp:positionH>
                <wp:positionV relativeFrom="paragraph">
                  <wp:posOffset>2423160</wp:posOffset>
                </wp:positionV>
                <wp:extent cx="638810" cy="307975"/>
                <wp:effectExtent l="0" t="0" r="0" b="0"/>
                <wp:wrapNone/>
                <wp:docPr id="1748243849" name="Forme37"/>
                <wp:cNvGraphicFramePr/>
                <a:graphic xmlns:a="http://schemas.openxmlformats.org/drawingml/2006/main">
                  <a:graphicData uri="http://schemas.microsoft.com/office/word/2010/wordprocessingShape">
                    <wps:wsp>
                      <wps:cNvSpPr/>
                      <wps:spPr bwMode="auto">
                        <a:xfrm>
                          <a:off x="0" y="0"/>
                          <a:ext cx="638810" cy="307975"/>
                        </a:xfrm>
                        <a:prstGeom prst="rect">
                          <a:avLst/>
                        </a:prstGeom>
                        <a:solidFill>
                          <a:srgbClr val="CAC8ED"/>
                        </a:solidFill>
                        <a:ln w="6350">
                          <a:solidFill>
                            <a:srgbClr val="000000"/>
                          </a:solidFill>
                          <a:round/>
                        </a:ln>
                      </wps:spPr>
                      <wps:txbx>
                        <w:txbxContent>
                          <w:p w14:paraId="09952C86" w14:textId="77777777" w:rsidR="00716D4E" w:rsidRDefault="00716D4E" w:rsidP="004C51D4">
                            <w:pPr>
                              <w:pStyle w:val="Contenudecadre"/>
                              <w:jc w:val="center"/>
                              <w:rPr>
                                <w:color w:val="000000" w:themeColor="text1"/>
                                <w:sz w:val="12"/>
                                <w:szCs w:val="12"/>
                              </w:rPr>
                            </w:pPr>
                            <w:r>
                              <w:rPr>
                                <w:color w:val="000000" w:themeColor="text1"/>
                                <w:sz w:val="12"/>
                                <w:szCs w:val="12"/>
                              </w:rPr>
                              <w:t>Experts partenaires</w:t>
                            </w:r>
                          </w:p>
                        </w:txbxContent>
                      </wps:txbx>
                      <wps:bodyPr wrap="square" lIns="91440" tIns="45720" rIns="91440" bIns="45720" upright="1"/>
                    </wps:wsp>
                  </a:graphicData>
                </a:graphic>
              </wp:anchor>
            </w:drawing>
          </mc:Choice>
          <mc:Fallback>
            <w:pict>
              <v:rect w14:anchorId="17C218A4" id="Forme37" o:spid="_x0000_s1061" style="position:absolute;left:0;text-align:left;margin-left:325.35pt;margin-top:190.8pt;width:50.3pt;height:24.25pt;z-index:251720704;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" fillcolor="#cac8ed" strokeweight=".5pt">
                <v:stroke joinstyle="round"/>
                <v:textbox>
                  <w:txbxContent>
                    <w:p w14:paraId="09952C86" w14:textId="77777777" w:rsidR="00716D4E" w:rsidRDefault="00716D4E" w:rsidP="004C51D4">
                      <w:pPr>
                        <w:pStyle w:val="Contenudecadre"/>
                        <w:jc w:val="center"/>
                        <w:rPr>
                          <w:color w:val="000000" w:themeColor="text1"/>
                          <w:sz w:val="12"/>
                          <w:szCs w:val="12"/>
                        </w:rPr>
                      </w:pPr>
                      <w:r>
                        <w:rPr>
                          <w:color w:val="000000" w:themeColor="text1"/>
                          <w:sz w:val="12"/>
                          <w:szCs w:val="12"/>
                        </w:rPr>
                        <w:t>Experts partenaires</w:t>
                      </w:r>
                    </w:p>
                  </w:txbxContent>
                </v:textbox>
              </v:rect>
            </w:pict>
          </mc:Fallback>
        </mc:AlternateContent>
      </w:r>
      <w:r>
        <w:rPr>
          <w:noProof/>
        </w:rPr>
        <mc:AlternateContent>
          <mc:Choice Requires="wps">
            <w:drawing>
              <wp:anchor distT="3175" distB="3175" distL="3175" distR="3175" simplePos="0" relativeHeight="251721728" behindDoc="0" locked="0" layoutInCell="1" allowOverlap="1" wp14:anchorId="5D4E9617" wp14:editId="2AE0D6DC">
                <wp:simplePos x="0" y="0"/>
                <wp:positionH relativeFrom="column">
                  <wp:posOffset>4091940</wp:posOffset>
                </wp:positionH>
                <wp:positionV relativeFrom="paragraph">
                  <wp:posOffset>2859405</wp:posOffset>
                </wp:positionV>
                <wp:extent cx="511810" cy="254000"/>
                <wp:effectExtent l="0" t="0" r="0" b="0"/>
                <wp:wrapNone/>
                <wp:docPr id="64" name="Forme36"/>
                <wp:cNvGraphicFramePr/>
                <a:graphic xmlns:a="http://schemas.openxmlformats.org/drawingml/2006/main">
                  <a:graphicData uri="http://schemas.microsoft.com/office/word/2010/wordprocessingShape">
                    <wps:wsp>
                      <wps:cNvSpPr/>
                      <wps:spPr bwMode="auto">
                        <a:xfrm>
                          <a:off x="0" y="0"/>
                          <a:ext cx="511810" cy="254000"/>
                        </a:xfrm>
                        <a:prstGeom prst="rect">
                          <a:avLst/>
                        </a:prstGeom>
                        <a:solidFill>
                          <a:srgbClr val="CAC8ED"/>
                        </a:solidFill>
                        <a:ln w="6350">
                          <a:solidFill>
                            <a:srgbClr val="000000"/>
                          </a:solidFill>
                          <a:round/>
                        </a:ln>
                      </wps:spPr>
                      <wps:txbx>
                        <w:txbxContent>
                          <w:p w14:paraId="4E13720A" w14:textId="77777777" w:rsidR="00716D4E" w:rsidRDefault="00716D4E" w:rsidP="004C51D4">
                            <w:pPr>
                              <w:pStyle w:val="Contenudecadre"/>
                              <w:jc w:val="center"/>
                              <w:rPr>
                                <w:color w:val="000000" w:themeColor="text1"/>
                                <w:sz w:val="12"/>
                                <w:szCs w:val="12"/>
                              </w:rPr>
                            </w:pPr>
                            <w:r>
                              <w:rPr>
                                <w:color w:val="000000" w:themeColor="text1"/>
                                <w:sz w:val="12"/>
                                <w:szCs w:val="12"/>
                              </w:rPr>
                              <w:t xml:space="preserve">Pôles </w:t>
                            </w:r>
                          </w:p>
                          <w:p w14:paraId="5B0AD5FA" w14:textId="77777777" w:rsidR="00716D4E" w:rsidRDefault="00716D4E" w:rsidP="004C51D4">
                            <w:pPr>
                              <w:pStyle w:val="Contenudecadre"/>
                              <w:jc w:val="center"/>
                              <w:rPr>
                                <w:color w:val="000000" w:themeColor="text1"/>
                                <w:sz w:val="12"/>
                                <w:szCs w:val="12"/>
                              </w:rPr>
                            </w:pPr>
                            <w:r>
                              <w:rPr>
                                <w:color w:val="000000" w:themeColor="text1"/>
                                <w:sz w:val="12"/>
                                <w:szCs w:val="12"/>
                              </w:rPr>
                              <w:t>GPMG</w:t>
                            </w:r>
                          </w:p>
                        </w:txbxContent>
                      </wps:txbx>
                      <wps:bodyPr wrap="square" lIns="91440" tIns="45720" rIns="91440" bIns="45720" upright="1"/>
                    </wps:wsp>
                  </a:graphicData>
                </a:graphic>
              </wp:anchor>
            </w:drawing>
          </mc:Choice>
          <mc:Fallback>
            <w:pict>
              <v:rect w14:anchorId="5D4E9617" id="Forme36" o:spid="_x0000_s1062" style="position:absolute;left:0;text-align:left;margin-left:322.2pt;margin-top:225.15pt;width:40.3pt;height:20pt;z-index:251721728;visibility:visible;mso-wrap-style:square;mso-wrap-distance-left:.25pt;mso-wrap-distance-top:.25pt;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" fillcolor="#cac8ed" strokeweight=".5pt">
                <v:stroke joinstyle="round"/>
                <v:textbox>
                  <w:txbxContent>
                    <w:p w14:paraId="4E13720A" w14:textId="77777777" w:rsidR="00716D4E" w:rsidRDefault="00716D4E" w:rsidP="004C51D4">
                      <w:pPr>
                        <w:pStyle w:val="Contenudecadre"/>
                        <w:jc w:val="center"/>
                        <w:rPr>
                          <w:color w:val="000000" w:themeColor="text1"/>
                          <w:sz w:val="12"/>
                          <w:szCs w:val="12"/>
                        </w:rPr>
                      </w:pPr>
                      <w:r>
                        <w:rPr>
                          <w:color w:val="000000" w:themeColor="text1"/>
                          <w:sz w:val="12"/>
                          <w:szCs w:val="12"/>
                        </w:rPr>
                        <w:t xml:space="preserve">Pôles </w:t>
                      </w:r>
                    </w:p>
                    <w:p w14:paraId="5B0AD5FA" w14:textId="77777777" w:rsidR="00716D4E" w:rsidRDefault="00716D4E" w:rsidP="004C51D4">
                      <w:pPr>
                        <w:pStyle w:val="Contenudecadre"/>
                        <w:jc w:val="center"/>
                        <w:rPr>
                          <w:color w:val="000000" w:themeColor="text1"/>
                          <w:sz w:val="12"/>
                          <w:szCs w:val="12"/>
                        </w:rPr>
                      </w:pPr>
                      <w:r>
                        <w:rPr>
                          <w:color w:val="000000" w:themeColor="text1"/>
                          <w:sz w:val="12"/>
                          <w:szCs w:val="12"/>
                        </w:rPr>
                        <w:t>GPMG</w:t>
                      </w:r>
                    </w:p>
                  </w:txbxContent>
                </v:textbox>
              </v:rect>
            </w:pict>
          </mc:Fallback>
        </mc:AlternateContent>
      </w:r>
    </w:p>
    <w:p w14:paraId="218A4FAF" w14:textId="77777777" w:rsidR="004C51D4" w:rsidRDefault="004C51D4" w:rsidP="00EF39BE"/>
    <w:p w14:paraId="521FAE5D" w14:textId="77777777" w:rsidR="004C51D4" w:rsidRDefault="004C51D4" w:rsidP="00EF39BE"/>
    <w:p w14:paraId="2470F732" w14:textId="77777777" w:rsidR="004C51D4" w:rsidRDefault="004C51D4" w:rsidP="00305E97">
      <w:pPr>
        <w:pStyle w:val="Lgende"/>
        <w:jc w:val="center"/>
      </w:pPr>
      <w:r>
        <w:t>Gouvernance proposée pour l’étude de vulnérabilité au changement climatique et le plan de résilience du GPMG</w:t>
      </w:r>
    </w:p>
    <w:p w14:paraId="1CC80D63" w14:textId="3FEAE2D4" w:rsidR="004C51D4" w:rsidRDefault="00305E97" w:rsidP="00EF39BE">
      <w:r>
        <w:tab/>
      </w:r>
      <w:r w:rsidR="00C97DD6" w:rsidRPr="00C97DD6">
        <w:t>La démarche d'adaptation au changement climatique du port mobilise différents acteurs à plusieurs échelles. Toutefois, le Grand Port Maritime de Guyane n’a pas vocation à porter cette stratégie à l’échelle territoriale. Ces comités ont donc également pour objectif d’informer les partenaires liés au GPM et de les encourager à engager des démarches similaires au sein de leurs propres structures ou d’accompagner le GPMG.</w:t>
      </w:r>
    </w:p>
    <w:p w14:paraId="41451AB2" w14:textId="131E01CC" w:rsidR="00914D25" w:rsidRDefault="00BB483B" w:rsidP="00EF39BE">
      <w:r>
        <w:br w:type="page"/>
      </w:r>
    </w:p>
    <w:p w14:paraId="115A6F24" w14:textId="10924BF4" w:rsidR="00F476E5" w:rsidRDefault="00F476E5" w:rsidP="00EF39BE">
      <w:pPr>
        <w:pStyle w:val="Titre1"/>
      </w:pPr>
      <w:bookmarkStart w:id="15" w:name="_Toc227684047"/>
      <w:bookmarkStart w:id="16" w:name="_Ref228803368"/>
      <w:bookmarkStart w:id="17" w:name="_Ref228804369"/>
      <w:bookmarkStart w:id="18" w:name="_Toc235518167"/>
      <w:r>
        <w:lastRenderedPageBreak/>
        <w:t>Périmètres de l’étude</w:t>
      </w:r>
      <w:bookmarkEnd w:id="15"/>
      <w:bookmarkEnd w:id="16"/>
      <w:bookmarkEnd w:id="17"/>
      <w:bookmarkEnd w:id="18"/>
    </w:p>
    <w:p w14:paraId="4C318981" w14:textId="2374EA7D" w:rsidR="006C3223" w:rsidRDefault="006C3223" w:rsidP="00EF39BE">
      <w:pPr>
        <w:pStyle w:val="Titre2"/>
      </w:pPr>
      <w:bookmarkStart w:id="19" w:name="_Toc235518168"/>
      <w:bookmarkStart w:id="20" w:name="_Toc227684048"/>
      <w:r>
        <w:t>Périmètre géographique de l’étude</w:t>
      </w:r>
      <w:bookmarkEnd w:id="19"/>
    </w:p>
    <w:p w14:paraId="575481F8" w14:textId="3F026417" w:rsidR="006C3223" w:rsidRPr="006C3223" w:rsidRDefault="001975F2" w:rsidP="00D75FE1">
      <w:r>
        <w:tab/>
      </w:r>
      <w:r w:rsidR="00D75FE1">
        <w:t>Le périmètre de l’étude est limité aux ports de Dégrad-des-</w:t>
      </w:r>
      <w:r w:rsidR="00D75FE1" w:rsidRPr="00DD7D52">
        <w:t xml:space="preserve">Cannes et de </w:t>
      </w:r>
      <w:proofErr w:type="spellStart"/>
      <w:r w:rsidR="00D75FE1" w:rsidRPr="00DD7D52">
        <w:t>Pariacabo</w:t>
      </w:r>
      <w:proofErr w:type="spellEnd"/>
      <w:r w:rsidR="00D75FE1" w:rsidRPr="00DD7D52">
        <w:t xml:space="preserve">. S’agissant du port de </w:t>
      </w:r>
      <w:proofErr w:type="spellStart"/>
      <w:r w:rsidR="00D75FE1" w:rsidRPr="00DD7D52">
        <w:t>Pariacabo</w:t>
      </w:r>
      <w:proofErr w:type="spellEnd"/>
      <w:r w:rsidR="00D75FE1" w:rsidRPr="00DD7D52">
        <w:t>, il apparaît que le quai, de conception ancienne, nécessite</w:t>
      </w:r>
      <w:r w:rsidR="00D75FE1">
        <w:t xml:space="preserve"> une réévaluation ; celui-ci relève toutefois également de la responsabilité du </w:t>
      </w:r>
      <w:r w:rsidR="00A87C15">
        <w:t>Centre Spatial Guyanais (</w:t>
      </w:r>
      <w:r w:rsidR="00D75FE1">
        <w:t>CSG</w:t>
      </w:r>
      <w:r w:rsidR="00A87C15">
        <w:t>)</w:t>
      </w:r>
      <w:r w:rsidR="00D75FE1">
        <w:t>.</w:t>
      </w:r>
      <w:r w:rsidR="00E706DB">
        <w:t xml:space="preserve"> </w:t>
      </w:r>
      <w:r w:rsidR="00333588">
        <w:t>Il apparait toutefois important qu’une note soit intégrée à l’étude sur les perspectives de réévaluation des quais par le CSG.</w:t>
      </w:r>
      <w:r w:rsidR="004B7BD7">
        <w:t xml:space="preserve"> </w:t>
      </w:r>
      <w:r w:rsidR="00D75FE1">
        <w:t>En conséquence, l’étude de vulnérabilité se concentrera principalement sur le port de Dégrad-des-Cannes, infrastructure plus récente, dont le dimensionnement a déjà intégré, au moins en partie, l’évolution des paramètres liés au changement climatique.</w:t>
      </w:r>
      <w:r>
        <w:t xml:space="preserve"> </w:t>
      </w:r>
      <w:r w:rsidR="00D75FE1">
        <w:t xml:space="preserve">Dans ce contexte, la gestion du patrimoine ainsi que la </w:t>
      </w:r>
      <w:r w:rsidR="00914D25">
        <w:t>continuité</w:t>
      </w:r>
      <w:r w:rsidR="00D75FE1">
        <w:t xml:space="preserve"> des services apparaissent comme des enjeux majeurs.</w:t>
      </w:r>
    </w:p>
    <w:p w14:paraId="55666183" w14:textId="146F93B7" w:rsidR="00F476E5" w:rsidRDefault="00F476E5" w:rsidP="00EF39BE">
      <w:pPr>
        <w:pStyle w:val="Titre2"/>
      </w:pPr>
      <w:bookmarkStart w:id="21" w:name="_Toc235518169"/>
      <w:r>
        <w:t xml:space="preserve">Périmètre </w:t>
      </w:r>
      <w:r w:rsidR="004C51D4">
        <w:t>physique</w:t>
      </w:r>
      <w:r>
        <w:t xml:space="preserve"> de l’étude</w:t>
      </w:r>
      <w:bookmarkEnd w:id="20"/>
      <w:bookmarkEnd w:id="21"/>
    </w:p>
    <w:p w14:paraId="5815FEDC" w14:textId="72B5244B" w:rsidR="001C1EBA" w:rsidRDefault="001975F2" w:rsidP="00EF39BE">
      <w:bookmarkStart w:id="22" w:name="_Toc227684049"/>
      <w:r>
        <w:tab/>
      </w:r>
      <w:r w:rsidR="001C1EBA">
        <w:t>L’étude se doit de considérer l’ensemble du territoire pouvant être affect</w:t>
      </w:r>
      <w:r w:rsidR="00CA58F0">
        <w:t>é</w:t>
      </w:r>
      <w:r w:rsidR="001C1EBA">
        <w:t xml:space="preserve"> par </w:t>
      </w:r>
      <w:r w:rsidR="00DC191C">
        <w:t>l</w:t>
      </w:r>
      <w:r w:rsidR="001C1EBA">
        <w:t xml:space="preserve">es infrastructures ou fonctionnalités </w:t>
      </w:r>
      <w:r w:rsidR="00CA58F0">
        <w:t>du</w:t>
      </w:r>
      <w:r w:rsidR="001C1EBA">
        <w:t xml:space="preserve"> Grand Port Maritime de Guyane.</w:t>
      </w:r>
      <w:r w:rsidR="00F22995">
        <w:t xml:space="preserve"> </w:t>
      </w:r>
      <w:r w:rsidR="001C1EBA">
        <w:t>Cependant, il a été décidé que les actions de la stratégie d’adaptation au changement climatique à définir concerneraient le port uniquement, délimité par son foncier et des infrastructures propres.</w:t>
      </w:r>
      <w:r w:rsidR="00F22995">
        <w:t xml:space="preserve"> </w:t>
      </w:r>
      <w:r w:rsidR="00C50CA1" w:rsidRPr="00C50CA1">
        <w:t>La géographie du port s'articule autour de plusieurs périmètres successifs : depuis la zone soumise au code ISPS, jusqu'à la limite administrative du port, puis aux terrains en propriété, et enfin à la circonscription portuaire.</w:t>
      </w:r>
      <w:r w:rsidR="001C1EBA">
        <w:t xml:space="preserve"> </w:t>
      </w:r>
    </w:p>
    <w:p w14:paraId="0F3F9F41" w14:textId="77777777" w:rsidR="00F873DD" w:rsidRDefault="00F873DD" w:rsidP="00EF39BE"/>
    <w:p w14:paraId="2A998C8F" w14:textId="3845926D" w:rsidR="001C1EBA" w:rsidRDefault="00DD7D52" w:rsidP="00EF39BE">
      <w:r>
        <w:tab/>
      </w:r>
      <w:r w:rsidR="001C1EBA">
        <w:t>La prise en compte de l’adaptation au changement climatique à l’horizon 2100 doit bien être intégrée dans la conception des équipements programmés dans le cadre du programme stratégique 2024-2028, ainsi que dans la planification des futurs programmes stratégiques. Sont notamment concernés le terminal céréalier, l’Eco Pôle et le scanner.</w:t>
      </w:r>
      <w:r w:rsidR="00F22995">
        <w:t xml:space="preserve"> </w:t>
      </w:r>
      <w:r w:rsidR="001C1EBA">
        <w:t xml:space="preserve">A la suite des ateliers, il a été décidé de se concentrer sur les sites de Dégrad-des-Cannes et de </w:t>
      </w:r>
      <w:proofErr w:type="spellStart"/>
      <w:r w:rsidR="001C1EBA">
        <w:t>Pariacabo</w:t>
      </w:r>
      <w:proofErr w:type="spellEnd"/>
      <w:r w:rsidR="001C1EBA">
        <w:t xml:space="preserve"> et d’exclure le Port sec de Saint Georges de l’Oyapock et le projet de terminal industriel et commercial de l'ouest.</w:t>
      </w:r>
    </w:p>
    <w:p w14:paraId="5FB21D0B" w14:textId="77777777" w:rsidR="001C1EBA" w:rsidRDefault="001C1EBA" w:rsidP="00EF39BE">
      <w:pPr>
        <w:rPr>
          <w:color w:val="14123A" w:themeColor="accent2" w:themeShade="80"/>
        </w:rPr>
      </w:pPr>
    </w:p>
    <w:tbl>
      <w:tblPr>
        <w:tblStyle w:val="Grilledutableau"/>
        <w:tblW w:w="9979" w:type="dxa"/>
        <w:tblLayout w:type="fixed"/>
        <w:tblLook w:val="04A0" w:firstRow="1" w:lastRow="0" w:firstColumn="1" w:lastColumn="0" w:noHBand="0" w:noVBand="1"/>
      </w:tblPr>
      <w:tblGrid>
        <w:gridCol w:w="9979"/>
      </w:tblGrid>
      <w:tr w:rsidR="001C1EBA" w14:paraId="5E138E50" w14:textId="77777777" w:rsidTr="00333588">
        <w:tc>
          <w:tcPr>
            <w:tcW w:w="9979" w:type="dxa"/>
          </w:tcPr>
          <w:p w14:paraId="4F1119B2" w14:textId="77777777" w:rsidR="001C1EBA" w:rsidRDefault="001C1EBA" w:rsidP="00EF39BE">
            <w:pPr>
              <w:rPr>
                <w:b/>
                <w:bCs/>
              </w:rPr>
            </w:pPr>
            <w:r>
              <w:rPr>
                <w:b/>
                <w:bCs/>
              </w:rPr>
              <w:t>Site de Dégrad des Cannes</w:t>
            </w:r>
          </w:p>
        </w:tc>
      </w:tr>
      <w:tr w:rsidR="001C1EBA" w14:paraId="1756571B" w14:textId="77777777" w:rsidTr="00333588">
        <w:tc>
          <w:tcPr>
            <w:tcW w:w="9979" w:type="dxa"/>
          </w:tcPr>
          <w:p w14:paraId="2F478C4C" w14:textId="77777777" w:rsidR="001C1EBA" w:rsidRDefault="001C1EBA" w:rsidP="00EF39BE">
            <w:r>
              <w:t xml:space="preserve">3 quais à conteneur </w:t>
            </w:r>
          </w:p>
          <w:p w14:paraId="66DE1566" w14:textId="77777777" w:rsidR="001C1EBA" w:rsidRDefault="001C1EBA" w:rsidP="00EF39BE">
            <w:r>
              <w:t>1 quai pétrolier (hydrocarbures et gaz, ainsi que biocarburants prévus pour 2100)</w:t>
            </w:r>
          </w:p>
          <w:p w14:paraId="70E7E96E" w14:textId="77777777" w:rsidR="001C1EBA" w:rsidRDefault="001C1EBA" w:rsidP="00EF39BE">
            <w:r>
              <w:t>1 quai minéralier (clinker et gypse)</w:t>
            </w:r>
          </w:p>
          <w:p w14:paraId="0BF31913" w14:textId="77777777" w:rsidR="001C1EBA" w:rsidRDefault="001C1EBA" w:rsidP="00EF39BE">
            <w:r>
              <w:t>1 cale de cabotage régionale</w:t>
            </w:r>
          </w:p>
          <w:p w14:paraId="0815A7FA" w14:textId="77777777" w:rsidR="001C1EBA" w:rsidRDefault="001C1EBA" w:rsidP="00EF39BE">
            <w:r>
              <w:t>1 poste roulier</w:t>
            </w:r>
          </w:p>
          <w:p w14:paraId="41D9CC88" w14:textId="77777777" w:rsidR="001C1EBA" w:rsidRDefault="001C1EBA" w:rsidP="00EF39BE">
            <w:r>
              <w:t>Grues et rails</w:t>
            </w:r>
          </w:p>
          <w:p w14:paraId="5B884569" w14:textId="37D72171" w:rsidR="001C1EBA" w:rsidRDefault="00F22995" w:rsidP="00EF39BE">
            <w:r>
              <w:t>Éclairage</w:t>
            </w:r>
            <w:r w:rsidR="001C1EBA">
              <w:t xml:space="preserve"> (mâts)</w:t>
            </w:r>
          </w:p>
          <w:p w14:paraId="15DBBC57" w14:textId="77777777" w:rsidR="001C1EBA" w:rsidRDefault="001C1EBA" w:rsidP="00EF39BE">
            <w:r>
              <w:t>Réseau pluvial et assainissements</w:t>
            </w:r>
          </w:p>
          <w:p w14:paraId="29D51E5D" w14:textId="77777777" w:rsidR="001C1EBA" w:rsidRDefault="001C1EBA" w:rsidP="00EF39BE">
            <w:r>
              <w:t>Réseau de communication et informatique</w:t>
            </w:r>
          </w:p>
          <w:p w14:paraId="6FFA9792" w14:textId="77777777" w:rsidR="001C1EBA" w:rsidRDefault="001C1EBA" w:rsidP="00EF39BE">
            <w:r>
              <w:t>Bâtiments techniques et administratifs</w:t>
            </w:r>
          </w:p>
          <w:p w14:paraId="7B95A84F" w14:textId="77777777" w:rsidR="001C1EBA" w:rsidRDefault="001C1EBA" w:rsidP="00EF39BE">
            <w:r>
              <w:t>Alimentation électrique</w:t>
            </w:r>
          </w:p>
          <w:p w14:paraId="3766CAAC" w14:textId="77777777" w:rsidR="001C1EBA" w:rsidRDefault="001C1EBA" w:rsidP="00EF39BE">
            <w:r>
              <w:t>Terre-pleins</w:t>
            </w:r>
          </w:p>
          <w:p w14:paraId="7D79F894" w14:textId="77777777" w:rsidR="001C1EBA" w:rsidRDefault="001C1EBA" w:rsidP="00EF39BE">
            <w:r>
              <w:t>Installations de sûreté et contrôles d’accès</w:t>
            </w:r>
          </w:p>
          <w:p w14:paraId="4B424CA3" w14:textId="77777777" w:rsidR="001C1EBA" w:rsidRDefault="001C1EBA" w:rsidP="00EF39BE">
            <w:r>
              <w:t>Routes</w:t>
            </w:r>
          </w:p>
          <w:p w14:paraId="4982E141" w14:textId="77777777" w:rsidR="001C1EBA" w:rsidRDefault="001C1EBA" w:rsidP="00EF39BE">
            <w:r>
              <w:t>Plan d’eau : bords à quai et chenal d’accès</w:t>
            </w:r>
          </w:p>
          <w:p w14:paraId="3D0864DD" w14:textId="77777777" w:rsidR="001C1EBA" w:rsidRDefault="001C1EBA" w:rsidP="00EF39BE">
            <w:r>
              <w:t xml:space="preserve">Domaine public maritime naturel et espaces naturels </w:t>
            </w:r>
          </w:p>
          <w:p w14:paraId="06123B7E" w14:textId="77777777" w:rsidR="001C1EBA" w:rsidRDefault="001C1EBA" w:rsidP="00EF39BE">
            <w:r>
              <w:t>Zone de pêche</w:t>
            </w:r>
          </w:p>
          <w:p w14:paraId="04811603" w14:textId="77777777" w:rsidR="001C1EBA" w:rsidRDefault="001C1EBA" w:rsidP="00EF39BE">
            <w:r>
              <w:t>Zones servitudes</w:t>
            </w:r>
          </w:p>
          <w:p w14:paraId="67361E45" w14:textId="77777777" w:rsidR="001C1EBA" w:rsidRDefault="001C1EBA" w:rsidP="00EF39BE">
            <w:r>
              <w:t>Opérateurs touristiques</w:t>
            </w:r>
          </w:p>
          <w:p w14:paraId="22342B37" w14:textId="77777777" w:rsidR="001C1EBA" w:rsidRDefault="001C1EBA" w:rsidP="00EF39BE">
            <w:r>
              <w:t>Foncier viabilisé hors domaine portuaire</w:t>
            </w:r>
          </w:p>
          <w:p w14:paraId="466A90E8" w14:textId="77777777" w:rsidR="001C1EBA" w:rsidRDefault="001C1EBA" w:rsidP="00EF39BE">
            <w:r>
              <w:t>Foncier d’emprise de l’oléoduc appartenant au GPM</w:t>
            </w:r>
          </w:p>
          <w:p w14:paraId="0145E967" w14:textId="77777777" w:rsidR="001C1EBA" w:rsidRDefault="001C1EBA" w:rsidP="00EF39BE">
            <w:r>
              <w:t>Terminal céréalier (</w:t>
            </w:r>
            <w:r>
              <w:rPr>
                <w:b/>
                <w:bCs/>
              </w:rPr>
              <w:t>2100</w:t>
            </w:r>
            <w:r>
              <w:t>)</w:t>
            </w:r>
          </w:p>
          <w:p w14:paraId="7217D514" w14:textId="77777777" w:rsidR="001C1EBA" w:rsidRDefault="001C1EBA" w:rsidP="00EF39BE">
            <w:r>
              <w:t>Eco pôle secteur 3 (</w:t>
            </w:r>
            <w:r>
              <w:rPr>
                <w:b/>
                <w:bCs/>
              </w:rPr>
              <w:t>2100</w:t>
            </w:r>
            <w:r>
              <w:t>)</w:t>
            </w:r>
          </w:p>
        </w:tc>
      </w:tr>
    </w:tbl>
    <w:p w14:paraId="665868F8" w14:textId="77777777" w:rsidR="001C1EBA" w:rsidRDefault="001C1EBA" w:rsidP="00EF39BE"/>
    <w:tbl>
      <w:tblPr>
        <w:tblStyle w:val="Grilledutableau"/>
        <w:tblW w:w="9979" w:type="dxa"/>
        <w:tblLayout w:type="fixed"/>
        <w:tblLook w:val="04A0" w:firstRow="1" w:lastRow="0" w:firstColumn="1" w:lastColumn="0" w:noHBand="0" w:noVBand="1"/>
      </w:tblPr>
      <w:tblGrid>
        <w:gridCol w:w="9979"/>
      </w:tblGrid>
      <w:tr w:rsidR="001C1EBA" w14:paraId="233B67C3" w14:textId="77777777" w:rsidTr="00333588">
        <w:tc>
          <w:tcPr>
            <w:tcW w:w="9979" w:type="dxa"/>
          </w:tcPr>
          <w:p w14:paraId="68BFDAD7" w14:textId="77777777" w:rsidR="001C1EBA" w:rsidRDefault="001C1EBA" w:rsidP="00EF39BE">
            <w:pPr>
              <w:rPr>
                <w:b/>
                <w:bCs/>
              </w:rPr>
            </w:pPr>
            <w:r>
              <w:rPr>
                <w:b/>
                <w:bCs/>
              </w:rPr>
              <w:t xml:space="preserve">Site de </w:t>
            </w:r>
            <w:proofErr w:type="spellStart"/>
            <w:r>
              <w:rPr>
                <w:b/>
                <w:bCs/>
              </w:rPr>
              <w:t>Pariacabo</w:t>
            </w:r>
            <w:proofErr w:type="spellEnd"/>
          </w:p>
        </w:tc>
      </w:tr>
      <w:tr w:rsidR="001C1EBA" w14:paraId="12DAC1C0" w14:textId="77777777" w:rsidTr="00333588">
        <w:tc>
          <w:tcPr>
            <w:tcW w:w="9979" w:type="dxa"/>
          </w:tcPr>
          <w:p w14:paraId="39086EC5" w14:textId="77777777" w:rsidR="001C1EBA" w:rsidRDefault="001C1EBA" w:rsidP="00EF39BE">
            <w:r>
              <w:t>1 appontement RORO</w:t>
            </w:r>
          </w:p>
          <w:p w14:paraId="138E479F" w14:textId="77777777" w:rsidR="001C1EBA" w:rsidRDefault="001C1EBA" w:rsidP="00EF39BE">
            <w:r>
              <w:t>2 appontements de servitude</w:t>
            </w:r>
          </w:p>
          <w:p w14:paraId="545E6040" w14:textId="77777777" w:rsidR="001C1EBA" w:rsidRDefault="001C1EBA" w:rsidP="00EF39BE">
            <w:r>
              <w:t>2 cales inclinées</w:t>
            </w:r>
          </w:p>
          <w:p w14:paraId="439F47A6" w14:textId="77777777" w:rsidR="001C1EBA" w:rsidRDefault="001C1EBA" w:rsidP="00EF39BE">
            <w:r>
              <w:t>Plan d’eau : bord à quai et chenal d’accès (18km de long, dragué à la côte -2,50m)</w:t>
            </w:r>
          </w:p>
          <w:p w14:paraId="508C8152" w14:textId="77777777" w:rsidR="001C1EBA" w:rsidRDefault="001C1EBA" w:rsidP="00EF39BE">
            <w:r>
              <w:lastRenderedPageBreak/>
              <w:t>Bâtiments</w:t>
            </w:r>
          </w:p>
          <w:p w14:paraId="394A14B6" w14:textId="77777777" w:rsidR="001C1EBA" w:rsidRDefault="001C1EBA" w:rsidP="00EF39BE">
            <w:r>
              <w:t>Alimentation électrique</w:t>
            </w:r>
          </w:p>
          <w:p w14:paraId="6A094F80" w14:textId="77777777" w:rsidR="001C1EBA" w:rsidRDefault="001C1EBA" w:rsidP="00EF39BE">
            <w:r>
              <w:t>Terre-pleins</w:t>
            </w:r>
          </w:p>
          <w:p w14:paraId="023BC2FC" w14:textId="77777777" w:rsidR="001C1EBA" w:rsidRDefault="001C1EBA" w:rsidP="00EF39BE">
            <w:r>
              <w:t>Installations de sûreté et contrôles d’accès</w:t>
            </w:r>
          </w:p>
          <w:p w14:paraId="49B3FD16" w14:textId="77777777" w:rsidR="001C1EBA" w:rsidRDefault="001C1EBA" w:rsidP="00EF39BE">
            <w:r>
              <w:t>Routes</w:t>
            </w:r>
          </w:p>
          <w:p w14:paraId="19011009" w14:textId="77777777" w:rsidR="001C1EBA" w:rsidRDefault="001C1EBA" w:rsidP="00EF39BE">
            <w:r>
              <w:t>Plan d’eau : bassin et chenal (18km de long, dragué à la côte -2,50m)</w:t>
            </w:r>
          </w:p>
          <w:p w14:paraId="58D0E7FC" w14:textId="77777777" w:rsidR="001C1EBA" w:rsidRDefault="001C1EBA" w:rsidP="00EF39BE"/>
          <w:p w14:paraId="616089A8" w14:textId="77777777" w:rsidR="001C1EBA" w:rsidRDefault="001C1EBA" w:rsidP="00EF39BE">
            <w:r>
              <w:t>Les bâtiments modulaires administratifs et hangars, les réseaux, les installations de sûreté et les contrôles d’accès sont propriétés du centre spatial guyanais (CSG). Les routes sont également des servitudes du CSG.</w:t>
            </w:r>
          </w:p>
          <w:p w14:paraId="4F8DED70" w14:textId="77777777" w:rsidR="001C1EBA" w:rsidRDefault="001C1EBA" w:rsidP="00EF39BE">
            <w:r>
              <w:t>Seul le quai AOT AOSP est propriété du GPMG, mais les autres éléments restent à intégrer à l’étude de vulnérabilité</w:t>
            </w:r>
          </w:p>
        </w:tc>
      </w:tr>
    </w:tbl>
    <w:p w14:paraId="6D4790FA" w14:textId="77777777" w:rsidR="001C1EBA" w:rsidRDefault="001C1EBA" w:rsidP="00EF39BE"/>
    <w:p w14:paraId="6D91C9CB" w14:textId="77777777" w:rsidR="001C1EBA" w:rsidRDefault="001C1EBA" w:rsidP="00EF39BE"/>
    <w:tbl>
      <w:tblPr>
        <w:tblStyle w:val="Grilledutableau"/>
        <w:tblW w:w="9979" w:type="dxa"/>
        <w:tblLayout w:type="fixed"/>
        <w:tblLook w:val="04A0" w:firstRow="1" w:lastRow="0" w:firstColumn="1" w:lastColumn="0" w:noHBand="0" w:noVBand="1"/>
      </w:tblPr>
      <w:tblGrid>
        <w:gridCol w:w="9979"/>
      </w:tblGrid>
      <w:tr w:rsidR="001C1EBA" w14:paraId="08E08C9E" w14:textId="77777777" w:rsidTr="00333588">
        <w:tc>
          <w:tcPr>
            <w:tcW w:w="9979" w:type="dxa"/>
          </w:tcPr>
          <w:p w14:paraId="0CF75E12" w14:textId="77777777" w:rsidR="001C1EBA" w:rsidRDefault="001C1EBA" w:rsidP="00EF39BE">
            <w:pPr>
              <w:rPr>
                <w:b/>
                <w:bCs/>
              </w:rPr>
            </w:pPr>
            <w:r>
              <w:rPr>
                <w:b/>
                <w:bCs/>
              </w:rPr>
              <w:t>Non retenu</w:t>
            </w:r>
          </w:p>
        </w:tc>
      </w:tr>
      <w:tr w:rsidR="001C1EBA" w14:paraId="65B44131" w14:textId="77777777" w:rsidTr="00333588">
        <w:tc>
          <w:tcPr>
            <w:tcW w:w="9979" w:type="dxa"/>
          </w:tcPr>
          <w:p w14:paraId="297F4618" w14:textId="77777777" w:rsidR="001C1EBA" w:rsidRDefault="001C1EBA" w:rsidP="00EF39BE">
            <w:r>
              <w:t>Site du projet de terminal industriel et commercial de l'ouest</w:t>
            </w:r>
          </w:p>
          <w:p w14:paraId="12B0BF25" w14:textId="77777777" w:rsidR="001C1EBA" w:rsidRDefault="001C1EBA" w:rsidP="00EF39BE">
            <w:r>
              <w:t>Site du Port Sec de Saint Georges de l’Oyapock</w:t>
            </w:r>
          </w:p>
          <w:p w14:paraId="21A1994D" w14:textId="77777777" w:rsidR="001C1EBA" w:rsidRDefault="001C1EBA" w:rsidP="00EF39BE">
            <w:r>
              <w:t>Infrastructures d’accès routier</w:t>
            </w:r>
          </w:p>
          <w:p w14:paraId="4F82F4EA" w14:textId="77777777" w:rsidR="001C1EBA" w:rsidRDefault="001C1EBA" w:rsidP="00EF39BE">
            <w:r>
              <w:t>Bande transporteuse (Argos)</w:t>
            </w:r>
          </w:p>
          <w:p w14:paraId="6DFA9BF5" w14:textId="77777777" w:rsidR="001C1EBA" w:rsidRDefault="001C1EBA" w:rsidP="00EF39BE">
            <w:r>
              <w:t>Ouvrages et infrastructures occupant le domaine portuaire n’appartenant pas au GPMG, seulement le foncier concerné</w:t>
            </w:r>
          </w:p>
          <w:p w14:paraId="423DF5DF" w14:textId="77777777" w:rsidR="001C1EBA" w:rsidRDefault="001C1EBA" w:rsidP="00EF39BE">
            <w:r>
              <w:t>Outillages d’autres opérateurs</w:t>
            </w:r>
          </w:p>
          <w:p w14:paraId="5E0E4D31" w14:textId="77777777" w:rsidR="001C1EBA" w:rsidRDefault="001C1EBA" w:rsidP="00EF39BE">
            <w:r>
              <w:t>Zone industrielle dans circonscription mais hors périmètre du port / sur terrains privés (ex SARA)</w:t>
            </w:r>
          </w:p>
        </w:tc>
      </w:tr>
    </w:tbl>
    <w:p w14:paraId="6726CA00" w14:textId="19700ED3" w:rsidR="00F476E5" w:rsidRPr="00F476E5" w:rsidRDefault="00F476E5" w:rsidP="00EF39BE">
      <w:pPr>
        <w:pStyle w:val="Titre2"/>
      </w:pPr>
      <w:bookmarkStart w:id="23" w:name="_Toc235518170"/>
      <w:r w:rsidRPr="00F476E5">
        <w:t>Périmètre climatique de l’étude</w:t>
      </w:r>
      <w:bookmarkEnd w:id="22"/>
      <w:bookmarkEnd w:id="23"/>
    </w:p>
    <w:p w14:paraId="675E1C43" w14:textId="600F3251" w:rsidR="00325155" w:rsidRDefault="00DD7D52" w:rsidP="00325155">
      <w:r>
        <w:tab/>
      </w:r>
      <w:r w:rsidR="00325155">
        <w:t>En cohérence avec les objectifs fixés, deux horizons temporels ont été retenus dès les premières discussions : 2050 pour la définition des objectifs stratégiques, et 2100 pour les analyses climatiques. Dans la mesure où les infrastructures du Grand Port Maritime de Guyane (GPMG) sont relativement récentes et ont déjà intégré la montée du niveau de la mer dans leur dimensionnement, le port peut se concentrer sur sa vulnérabilité à long terme et anticiper les actions nécessaires à l'horizon 2100.</w:t>
      </w:r>
    </w:p>
    <w:p w14:paraId="6E5DA6F2" w14:textId="77777777" w:rsidR="00F97134" w:rsidRDefault="00F97134" w:rsidP="00325155"/>
    <w:p w14:paraId="25FEFECB" w14:textId="420A3BA5" w:rsidR="00F97134" w:rsidRDefault="00DD7D52" w:rsidP="00CC0EF6">
      <w:r>
        <w:tab/>
      </w:r>
      <w:r w:rsidR="00325155">
        <w:t xml:space="preserve">L'étude s'appuie en priorité sur la Trajectoire de Réchauffement de Référence pour l'Adaptation au Changement Climatique (TRACC), référence nationale inscrite dans le code de l'environnement. </w:t>
      </w:r>
      <w:r w:rsidR="00CC0EF6" w:rsidRPr="00CC0EF6">
        <w:t>En Guyane, les niveaux territoriaux de la TRACC sont de +1,7 °C, +2,3 °C et +3,5 °C aux horizons 2030, 2050 et 2100, toujours par rapport à l’ère préindustrielle</w:t>
      </w:r>
      <w:r w:rsidR="00CC0EF6">
        <w:t>.</w:t>
      </w:r>
    </w:p>
    <w:p w14:paraId="4B28FE71" w14:textId="77777777" w:rsidR="00CC0EF6" w:rsidRDefault="00CC0EF6" w:rsidP="00CC0EF6"/>
    <w:p w14:paraId="53835780" w14:textId="7EB608D1" w:rsidR="00325155" w:rsidRDefault="00325155" w:rsidP="00325155">
      <w:r>
        <w:t>Lorsque le recours à la TRACC n'est pas possible, l'étude mobilise les scénarios du GIEC :</w:t>
      </w:r>
    </w:p>
    <w:p w14:paraId="70C0B6E5" w14:textId="77777777" w:rsidR="00325155" w:rsidRPr="00967728" w:rsidRDefault="00325155" w:rsidP="00E45AE5">
      <w:pPr>
        <w:pStyle w:val="Paragraphedeliste"/>
        <w:numPr>
          <w:ilvl w:val="0"/>
          <w:numId w:val="45"/>
        </w:numPr>
      </w:pPr>
      <w:r>
        <w:t>Un scénario réaliste (</w:t>
      </w:r>
      <w:r w:rsidRPr="00967728">
        <w:t>SSP2-4.5), dit intermédiaire, qui constitue la base de travail principale pour la sélection et la hiérarchisation des mesures d'adaptation. Il prévoit un réchauffement global de 2°C pour 2041-2060, et de 2,7°C pour 2081-2100.</w:t>
      </w:r>
    </w:p>
    <w:p w14:paraId="2C355086" w14:textId="77777777" w:rsidR="00325155" w:rsidRDefault="00325155" w:rsidP="00E45AE5">
      <w:pPr>
        <w:pStyle w:val="Paragraphedeliste"/>
        <w:numPr>
          <w:ilvl w:val="0"/>
          <w:numId w:val="45"/>
        </w:numPr>
      </w:pPr>
      <w:r w:rsidRPr="00967728">
        <w:t>Un scénario pessimiste (SSP5-8.5), fondé</w:t>
      </w:r>
      <w:r>
        <w:t xml:space="preserve"> sur un développement intensif aux énergies fossiles, utilisé pour conforter les choix d'adaptation et évaluer les surcoûts éventuels associés à un niveau de protection renforcé. Il prévoit un réchauffement de 2,4°C pour 2041-2060, et de 4,4°C pour 2081-2100.</w:t>
      </w:r>
    </w:p>
    <w:p w14:paraId="145EFCB9" w14:textId="77777777" w:rsidR="00325155" w:rsidRDefault="00325155" w:rsidP="00325155"/>
    <w:p w14:paraId="0B9D82AD" w14:textId="3D3CA39C" w:rsidR="00F22995" w:rsidRDefault="00325155" w:rsidP="00325155">
      <w:r>
        <w:t>Cette double lecture permettra de prendre des décisions éclairées lors de la sélection des mesures, en pesant le niveau de protection souhaité au regard des coûts associés.</w:t>
      </w:r>
    </w:p>
    <w:p w14:paraId="485CA3C6" w14:textId="43AA3B95" w:rsidR="00F476E5" w:rsidRDefault="00F476E5" w:rsidP="00EF39BE">
      <w:pPr>
        <w:pStyle w:val="Titre2"/>
      </w:pPr>
      <w:bookmarkStart w:id="24" w:name="_Toc227684050"/>
      <w:bookmarkStart w:id="25" w:name="_Toc235518171"/>
      <w:r>
        <w:t>Périmètre fonctionnel de l’étude</w:t>
      </w:r>
      <w:bookmarkEnd w:id="24"/>
      <w:bookmarkEnd w:id="25"/>
    </w:p>
    <w:p w14:paraId="450DE746" w14:textId="150D37A9" w:rsidR="001C1EBA" w:rsidRDefault="00AE3BAE" w:rsidP="00EF39BE">
      <w:r w:rsidRPr="00AE3BAE">
        <w:t>Les catégories et sous-catégories de fonctionnalités (activités/services et acteurs liés) à étudier sont les suivantes :</w:t>
      </w:r>
    </w:p>
    <w:p w14:paraId="371CF821" w14:textId="77777777" w:rsidR="00AE3BAE" w:rsidRDefault="00AE3BAE" w:rsidP="00EF39BE"/>
    <w:tbl>
      <w:tblPr>
        <w:tblStyle w:val="Grilledutableau"/>
        <w:tblW w:w="9979" w:type="dxa"/>
        <w:tblLayout w:type="fixed"/>
        <w:tblLook w:val="04A0" w:firstRow="1" w:lastRow="0" w:firstColumn="1" w:lastColumn="0" w:noHBand="0" w:noVBand="1"/>
      </w:tblPr>
      <w:tblGrid>
        <w:gridCol w:w="9979"/>
      </w:tblGrid>
      <w:tr w:rsidR="001C1EBA" w14:paraId="3D879088" w14:textId="77777777" w:rsidTr="00333588">
        <w:tc>
          <w:tcPr>
            <w:tcW w:w="9979" w:type="dxa"/>
          </w:tcPr>
          <w:p w14:paraId="3D7B480B" w14:textId="77777777" w:rsidR="001C1EBA" w:rsidRDefault="001C1EBA" w:rsidP="00EF39BE">
            <w:pPr>
              <w:rPr>
                <w:b/>
                <w:bCs/>
              </w:rPr>
            </w:pPr>
            <w:r>
              <w:rPr>
                <w:b/>
                <w:bCs/>
              </w:rPr>
              <w:t>Site de Dégrad des Cannes</w:t>
            </w:r>
          </w:p>
        </w:tc>
      </w:tr>
      <w:tr w:rsidR="001C1EBA" w14:paraId="77312222" w14:textId="77777777" w:rsidTr="00333588">
        <w:tc>
          <w:tcPr>
            <w:tcW w:w="9979" w:type="dxa"/>
          </w:tcPr>
          <w:p w14:paraId="14C096A3" w14:textId="77777777" w:rsidR="001C1EBA" w:rsidRDefault="001C1EBA" w:rsidP="00EF39BE">
            <w:r>
              <w:t>Accès routiers/circulation routière</w:t>
            </w:r>
          </w:p>
          <w:p w14:paraId="3B5FADE7" w14:textId="77777777" w:rsidR="001C1EBA" w:rsidRDefault="001C1EBA" w:rsidP="00EF39BE">
            <w:r>
              <w:t>Mise à disposition de foncier</w:t>
            </w:r>
          </w:p>
          <w:p w14:paraId="609F43B8" w14:textId="77777777" w:rsidR="001C1EBA" w:rsidRDefault="001C1EBA" w:rsidP="00EF39BE">
            <w:r>
              <w:t>Circulation des navires / accès nautique</w:t>
            </w:r>
          </w:p>
          <w:p w14:paraId="58F5CAA6" w14:textId="77777777" w:rsidR="001C1EBA" w:rsidRDefault="001C1EBA" w:rsidP="00EF39BE">
            <w:r>
              <w:t>Activités administratives et régaliennes</w:t>
            </w:r>
          </w:p>
          <w:p w14:paraId="686C3637" w14:textId="77777777" w:rsidR="001C1EBA" w:rsidRDefault="001C1EBA" w:rsidP="00EF39BE">
            <w:r>
              <w:t>Embarquement/débarquement (passagers)</w:t>
            </w:r>
          </w:p>
          <w:p w14:paraId="1A68DC1C" w14:textId="77777777" w:rsidR="001C1EBA" w:rsidRDefault="001C1EBA" w:rsidP="00EF39BE">
            <w:r>
              <w:t>Chargement/déchargement (marchandises)</w:t>
            </w:r>
          </w:p>
          <w:p w14:paraId="43D0E8E0" w14:textId="77777777" w:rsidR="001C1EBA" w:rsidRDefault="001C1EBA" w:rsidP="00EF39BE">
            <w:r>
              <w:lastRenderedPageBreak/>
              <w:t>Accostage/amarrage</w:t>
            </w:r>
          </w:p>
          <w:p w14:paraId="4082B6E3" w14:textId="77777777" w:rsidR="001C1EBA" w:rsidRDefault="001C1EBA" w:rsidP="00EF39BE">
            <w:r>
              <w:t>Stockage/stationnement (temporaire)</w:t>
            </w:r>
          </w:p>
          <w:p w14:paraId="71AEF050" w14:textId="77777777" w:rsidR="001C1EBA" w:rsidRDefault="001C1EBA" w:rsidP="00EF39BE">
            <w:r>
              <w:t xml:space="preserve">Sûreté </w:t>
            </w:r>
          </w:p>
          <w:p w14:paraId="5F4622B3" w14:textId="77777777" w:rsidR="001C1EBA" w:rsidRDefault="001C1EBA" w:rsidP="00EF39BE">
            <w:r>
              <w:t>Sécurité des personnels intervenant sur le port</w:t>
            </w:r>
          </w:p>
          <w:p w14:paraId="20AE0DC3" w14:textId="77777777" w:rsidR="001C1EBA" w:rsidRDefault="001C1EBA" w:rsidP="00EF39BE">
            <w:r>
              <w:t>Travaux portuaires (investissement/maintenance)</w:t>
            </w:r>
          </w:p>
          <w:p w14:paraId="5052B86C" w14:textId="77777777" w:rsidR="001C1EBA" w:rsidRDefault="001C1EBA" w:rsidP="00EF39BE">
            <w:r>
              <w:t>Fonctionnalités écosystémiques (espaces naturels)</w:t>
            </w:r>
          </w:p>
          <w:p w14:paraId="1079E51F" w14:textId="577F8DEC" w:rsidR="001C1EBA" w:rsidRDefault="001C1EBA" w:rsidP="00EF39BE">
            <w:r>
              <w:t xml:space="preserve">Logistiques portuaires (avitaillement, </w:t>
            </w:r>
            <w:r w:rsidR="00A61D81">
              <w:t>déchets...</w:t>
            </w:r>
            <w:r>
              <w:t>)</w:t>
            </w:r>
          </w:p>
          <w:p w14:paraId="2F57A098" w14:textId="77777777" w:rsidR="001C1EBA" w:rsidRDefault="001C1EBA" w:rsidP="00EF39BE">
            <w:r>
              <w:t>Contrôles marchandises (PFC, Douanes)</w:t>
            </w:r>
          </w:p>
          <w:p w14:paraId="4FB8A1E3" w14:textId="77777777" w:rsidR="001C1EBA" w:rsidRDefault="001C1EBA" w:rsidP="00EF39BE">
            <w:r>
              <w:t>Scanner (</w:t>
            </w:r>
            <w:r>
              <w:rPr>
                <w:b/>
                <w:bCs/>
              </w:rPr>
              <w:t>2100</w:t>
            </w:r>
            <w:r>
              <w:t>)</w:t>
            </w:r>
          </w:p>
          <w:p w14:paraId="792763EB" w14:textId="77777777" w:rsidR="001C1EBA" w:rsidRDefault="001C1EBA" w:rsidP="00EF39BE">
            <w:r>
              <w:t>Maintien en conditions opérationnelles des moyens support (énergie, gestion EP. Communication)</w:t>
            </w:r>
          </w:p>
        </w:tc>
      </w:tr>
    </w:tbl>
    <w:p w14:paraId="32F7649E" w14:textId="77777777" w:rsidR="001C1EBA" w:rsidRDefault="001C1EBA" w:rsidP="00EF39BE"/>
    <w:tbl>
      <w:tblPr>
        <w:tblStyle w:val="Grilledutableau"/>
        <w:tblW w:w="9979" w:type="dxa"/>
        <w:tblLayout w:type="fixed"/>
        <w:tblLook w:val="04A0" w:firstRow="1" w:lastRow="0" w:firstColumn="1" w:lastColumn="0" w:noHBand="0" w:noVBand="1"/>
      </w:tblPr>
      <w:tblGrid>
        <w:gridCol w:w="9979"/>
      </w:tblGrid>
      <w:tr w:rsidR="001C1EBA" w14:paraId="287C4493" w14:textId="77777777" w:rsidTr="00333588">
        <w:tc>
          <w:tcPr>
            <w:tcW w:w="9979" w:type="dxa"/>
          </w:tcPr>
          <w:p w14:paraId="57DBDB63" w14:textId="77777777" w:rsidR="001C1EBA" w:rsidRDefault="001C1EBA" w:rsidP="00EF39BE">
            <w:pPr>
              <w:rPr>
                <w:b/>
                <w:bCs/>
              </w:rPr>
            </w:pPr>
            <w:r>
              <w:rPr>
                <w:b/>
                <w:bCs/>
              </w:rPr>
              <w:t xml:space="preserve">Site de </w:t>
            </w:r>
            <w:proofErr w:type="spellStart"/>
            <w:r>
              <w:rPr>
                <w:b/>
                <w:bCs/>
              </w:rPr>
              <w:t>Pariacabo</w:t>
            </w:r>
            <w:proofErr w:type="spellEnd"/>
          </w:p>
        </w:tc>
      </w:tr>
      <w:tr w:rsidR="001C1EBA" w14:paraId="03BAC9AA" w14:textId="77777777" w:rsidTr="00333588">
        <w:tc>
          <w:tcPr>
            <w:tcW w:w="9979" w:type="dxa"/>
          </w:tcPr>
          <w:p w14:paraId="425F8C8D" w14:textId="77777777" w:rsidR="001C1EBA" w:rsidRDefault="001C1EBA" w:rsidP="00EF39BE">
            <w:r>
              <w:t>Accès routiers/circulation routière</w:t>
            </w:r>
          </w:p>
          <w:p w14:paraId="669FCC32" w14:textId="77777777" w:rsidR="001C1EBA" w:rsidRDefault="001C1EBA" w:rsidP="00EF39BE">
            <w:r>
              <w:t>Circulation des navires / accès nautiques</w:t>
            </w:r>
          </w:p>
          <w:p w14:paraId="1B69853D" w14:textId="77777777" w:rsidR="001C1EBA" w:rsidRDefault="001C1EBA" w:rsidP="00EF39BE">
            <w:r>
              <w:t>Activités administratives et régaliennes</w:t>
            </w:r>
          </w:p>
          <w:p w14:paraId="3A293E4A" w14:textId="77777777" w:rsidR="001C1EBA" w:rsidRDefault="001C1EBA" w:rsidP="00EF39BE">
            <w:r>
              <w:t>Embarquement/débarquement</w:t>
            </w:r>
          </w:p>
          <w:p w14:paraId="5B478183" w14:textId="77777777" w:rsidR="001C1EBA" w:rsidRDefault="001C1EBA" w:rsidP="00EF39BE">
            <w:r>
              <w:t>Accostage/amarrage</w:t>
            </w:r>
          </w:p>
          <w:p w14:paraId="61405641" w14:textId="77777777" w:rsidR="001C1EBA" w:rsidRDefault="001C1EBA" w:rsidP="00EF39BE">
            <w:r>
              <w:t>Stockage/stationnement (temporaire)</w:t>
            </w:r>
          </w:p>
          <w:p w14:paraId="7C39E961" w14:textId="77777777" w:rsidR="001C1EBA" w:rsidRDefault="001C1EBA" w:rsidP="00EF39BE">
            <w:r>
              <w:t>Gestion des eaux pluviales</w:t>
            </w:r>
          </w:p>
          <w:p w14:paraId="54BB3269" w14:textId="77777777" w:rsidR="001C1EBA" w:rsidRDefault="001C1EBA" w:rsidP="00EF39BE">
            <w:r>
              <w:t xml:space="preserve">Sûreté </w:t>
            </w:r>
          </w:p>
          <w:p w14:paraId="2C89CFDF" w14:textId="77777777" w:rsidR="001C1EBA" w:rsidRDefault="001C1EBA" w:rsidP="00EF39BE">
            <w:r>
              <w:t>Sécurité des personnels intervenant sur le port</w:t>
            </w:r>
          </w:p>
          <w:p w14:paraId="3DF85CCD" w14:textId="77777777" w:rsidR="001C1EBA" w:rsidRDefault="001C1EBA" w:rsidP="00EF39BE">
            <w:r>
              <w:t>Travaux portuaires (investissement/maintenance)</w:t>
            </w:r>
          </w:p>
          <w:p w14:paraId="7C0D068D" w14:textId="77777777" w:rsidR="001C1EBA" w:rsidRDefault="001C1EBA" w:rsidP="00EF39BE">
            <w:r>
              <w:t>Fonctionnalités écosystémiques</w:t>
            </w:r>
          </w:p>
          <w:p w14:paraId="1AC14683" w14:textId="77777777" w:rsidR="001C1EBA" w:rsidRDefault="001C1EBA" w:rsidP="00EF39BE">
            <w:r>
              <w:t>Logistiques portuaires (avitaillement, déchets..)</w:t>
            </w:r>
          </w:p>
        </w:tc>
      </w:tr>
    </w:tbl>
    <w:p w14:paraId="2FD72978" w14:textId="77777777" w:rsidR="001C1EBA" w:rsidRDefault="001C1EBA" w:rsidP="00EF39BE"/>
    <w:tbl>
      <w:tblPr>
        <w:tblStyle w:val="Grilledutableau"/>
        <w:tblW w:w="9979" w:type="dxa"/>
        <w:tblLayout w:type="fixed"/>
        <w:tblLook w:val="04A0" w:firstRow="1" w:lastRow="0" w:firstColumn="1" w:lastColumn="0" w:noHBand="0" w:noVBand="1"/>
      </w:tblPr>
      <w:tblGrid>
        <w:gridCol w:w="9979"/>
      </w:tblGrid>
      <w:tr w:rsidR="001C1EBA" w14:paraId="0676E4C8" w14:textId="77777777" w:rsidTr="00333588">
        <w:tc>
          <w:tcPr>
            <w:tcW w:w="9979" w:type="dxa"/>
          </w:tcPr>
          <w:p w14:paraId="6C5EA899" w14:textId="77777777" w:rsidR="001C1EBA" w:rsidRDefault="001C1EBA" w:rsidP="00EF39BE">
            <w:pPr>
              <w:rPr>
                <w:b/>
                <w:bCs/>
              </w:rPr>
            </w:pPr>
            <w:r>
              <w:rPr>
                <w:b/>
                <w:bCs/>
              </w:rPr>
              <w:t>Non retenu</w:t>
            </w:r>
          </w:p>
        </w:tc>
      </w:tr>
      <w:tr w:rsidR="001C1EBA" w14:paraId="0DBE2BBB" w14:textId="77777777" w:rsidTr="00333588">
        <w:tc>
          <w:tcPr>
            <w:tcW w:w="9979" w:type="dxa"/>
          </w:tcPr>
          <w:p w14:paraId="1A336F0D" w14:textId="77777777" w:rsidR="001C1EBA" w:rsidRDefault="001C1EBA" w:rsidP="00EF39BE">
            <w:r>
              <w:t>Site du projet de terminal industriel et commercial de l'ouest</w:t>
            </w:r>
          </w:p>
          <w:p w14:paraId="42380783" w14:textId="5524B8EA" w:rsidR="001C1EBA" w:rsidRDefault="001C1EBA" w:rsidP="00EF39BE">
            <w:r>
              <w:t xml:space="preserve">—&gt; projet de port </w:t>
            </w:r>
            <w:r w:rsidR="00A61D81">
              <w:t>pétrolier-</w:t>
            </w:r>
            <w:r>
              <w:t>minéralier ajourné</w:t>
            </w:r>
          </w:p>
          <w:p w14:paraId="7A84F27F" w14:textId="77777777" w:rsidR="001C1EBA" w:rsidRDefault="001C1EBA" w:rsidP="00EF39BE">
            <w:r>
              <w:t>Site Port de Saint Georges de l’Oyapock</w:t>
            </w:r>
          </w:p>
          <w:p w14:paraId="5957DE08" w14:textId="77777777" w:rsidR="001C1EBA" w:rsidRDefault="001C1EBA" w:rsidP="00EF39BE">
            <w:r>
              <w:t>—&gt; mise à disposition d’espaces d’échanges à terme</w:t>
            </w:r>
          </w:p>
          <w:p w14:paraId="1AEDC854" w14:textId="77777777" w:rsidR="001C1EBA" w:rsidRDefault="001C1EBA" w:rsidP="00EF39BE">
            <w:r>
              <w:t>—&gt; fonctionnalités écosystémiques</w:t>
            </w:r>
          </w:p>
          <w:p w14:paraId="2F2AF5D0" w14:textId="77777777" w:rsidR="001C1EBA" w:rsidRDefault="001C1EBA" w:rsidP="00EF39BE"/>
          <w:p w14:paraId="1E25085A" w14:textId="77777777" w:rsidR="001C1EBA" w:rsidRDefault="001C1EBA" w:rsidP="00EF39BE">
            <w:r>
              <w:t>Activités liées à la place du port dans la ville (interface ville-port)</w:t>
            </w:r>
          </w:p>
        </w:tc>
      </w:tr>
    </w:tbl>
    <w:p w14:paraId="4254258F" w14:textId="3131B079" w:rsidR="00F476E5" w:rsidRDefault="007A31BD" w:rsidP="00EF39BE">
      <w:r>
        <w:br w:type="page"/>
      </w:r>
    </w:p>
    <w:p w14:paraId="5262C5AA" w14:textId="43F478F0" w:rsidR="001C1EBA" w:rsidRDefault="001C1EBA" w:rsidP="00EF39BE">
      <w:pPr>
        <w:pStyle w:val="Titre2"/>
      </w:pPr>
      <w:bookmarkStart w:id="26" w:name="_Toc235518172"/>
      <w:r>
        <w:lastRenderedPageBreak/>
        <w:t>Périmètre des aléas</w:t>
      </w:r>
      <w:bookmarkEnd w:id="26"/>
    </w:p>
    <w:p w14:paraId="5BB80319" w14:textId="3854FEE1" w:rsidR="00165C01" w:rsidRDefault="009B74A3" w:rsidP="00EF39BE">
      <w:r w:rsidRPr="009B74A3">
        <w:t>L’étude prend en compte à la fois les évolutions tendancielles et les événements extrêmes, ainsi que leurs interactions.</w:t>
      </w:r>
    </w:p>
    <w:p w14:paraId="2FC2DF12" w14:textId="77777777" w:rsidR="009B74A3" w:rsidRPr="00F22995" w:rsidRDefault="009B74A3" w:rsidP="00EF39BE"/>
    <w:tbl>
      <w:tblPr>
        <w:tblStyle w:val="Grilledutableau"/>
        <w:tblW w:w="10233" w:type="dxa"/>
        <w:tblLayout w:type="fixed"/>
        <w:tblLook w:val="04A0" w:firstRow="1" w:lastRow="0" w:firstColumn="1" w:lastColumn="0" w:noHBand="0" w:noVBand="1"/>
      </w:tblPr>
      <w:tblGrid>
        <w:gridCol w:w="10233"/>
      </w:tblGrid>
      <w:tr w:rsidR="001C1EBA" w14:paraId="6C273DA7" w14:textId="77777777" w:rsidTr="00333588">
        <w:tc>
          <w:tcPr>
            <w:tcW w:w="10233" w:type="dxa"/>
          </w:tcPr>
          <w:p w14:paraId="7850A009" w14:textId="77777777" w:rsidR="001C1EBA" w:rsidRDefault="001C1EBA" w:rsidP="00EF39BE">
            <w:pPr>
              <w:rPr>
                <w:b/>
                <w:bCs/>
              </w:rPr>
            </w:pPr>
            <w:r>
              <w:rPr>
                <w:b/>
                <w:bCs/>
              </w:rPr>
              <w:t>Aléas retenus</w:t>
            </w:r>
          </w:p>
          <w:p w14:paraId="48186D55" w14:textId="77777777" w:rsidR="001C1EBA" w:rsidRDefault="001C1EBA" w:rsidP="00EF39BE">
            <w:pPr>
              <w:rPr>
                <w:b/>
                <w:bCs/>
              </w:rPr>
            </w:pPr>
          </w:p>
        </w:tc>
      </w:tr>
      <w:tr w:rsidR="001C1EBA" w14:paraId="0044CC03" w14:textId="77777777" w:rsidTr="00333588">
        <w:tc>
          <w:tcPr>
            <w:tcW w:w="10233" w:type="dxa"/>
          </w:tcPr>
          <w:p w14:paraId="38751F76" w14:textId="77777777" w:rsidR="001C1EBA" w:rsidRDefault="001C1EBA" w:rsidP="00EF39BE">
            <w:pPr>
              <w:rPr>
                <w:b/>
                <w:bCs/>
              </w:rPr>
            </w:pPr>
            <w:r>
              <w:rPr>
                <w:b/>
                <w:bCs/>
              </w:rPr>
              <w:t xml:space="preserve">Tendanciels </w:t>
            </w:r>
          </w:p>
        </w:tc>
      </w:tr>
      <w:tr w:rsidR="001C1EBA" w14:paraId="60BEAE50" w14:textId="77777777" w:rsidTr="00333588">
        <w:tc>
          <w:tcPr>
            <w:tcW w:w="10233" w:type="dxa"/>
          </w:tcPr>
          <w:p w14:paraId="6A532FE8" w14:textId="77777777" w:rsidR="001C1EBA" w:rsidRDefault="001C1EBA" w:rsidP="00EF39BE">
            <w:r>
              <w:t>Températures élevées</w:t>
            </w:r>
          </w:p>
          <w:p w14:paraId="1461C68E" w14:textId="77777777" w:rsidR="001C1EBA" w:rsidRDefault="001C1EBA" w:rsidP="00E45AE5">
            <w:pPr>
              <w:pStyle w:val="Paragraphedeliste"/>
              <w:numPr>
                <w:ilvl w:val="0"/>
                <w:numId w:val="8"/>
              </w:numPr>
            </w:pPr>
            <w:r>
              <w:t>Hausse des températures moyennes</w:t>
            </w:r>
          </w:p>
          <w:p w14:paraId="060AED56" w14:textId="15797879" w:rsidR="001C1EBA" w:rsidRDefault="001C1EBA" w:rsidP="00E45AE5">
            <w:pPr>
              <w:pStyle w:val="Paragraphedeliste"/>
              <w:numPr>
                <w:ilvl w:val="0"/>
                <w:numId w:val="8"/>
              </w:numPr>
            </w:pPr>
            <w:r>
              <w:t xml:space="preserve">Décalage </w:t>
            </w:r>
            <w:r w:rsidR="001B55FE">
              <w:t xml:space="preserve">à la hausse/baisse </w:t>
            </w:r>
            <w:r>
              <w:t>des températures maximales (impact sur l’exploitation)</w:t>
            </w:r>
          </w:p>
          <w:p w14:paraId="6C3FB51C" w14:textId="77777777" w:rsidR="001C1EBA" w:rsidRDefault="001C1EBA" w:rsidP="00E45AE5">
            <w:pPr>
              <w:pStyle w:val="Paragraphedeliste"/>
              <w:numPr>
                <w:ilvl w:val="0"/>
                <w:numId w:val="8"/>
              </w:numPr>
            </w:pPr>
            <w:r>
              <w:t xml:space="preserve">Vagues de chaleur </w:t>
            </w:r>
          </w:p>
          <w:p w14:paraId="6313EE34" w14:textId="77777777" w:rsidR="001C1EBA" w:rsidRDefault="001C1EBA" w:rsidP="00E45AE5">
            <w:pPr>
              <w:pStyle w:val="Paragraphedeliste"/>
              <w:numPr>
                <w:ilvl w:val="0"/>
                <w:numId w:val="8"/>
              </w:numPr>
            </w:pPr>
            <w:r>
              <w:t>Amplitudes thermiques</w:t>
            </w:r>
          </w:p>
          <w:p w14:paraId="0EA624A0" w14:textId="77777777" w:rsidR="001C1EBA" w:rsidRDefault="001C1EBA" w:rsidP="00EF39BE"/>
          <w:p w14:paraId="16D7B88A" w14:textId="77777777" w:rsidR="001C1EBA" w:rsidRDefault="001C1EBA" w:rsidP="00EF39BE">
            <w:r>
              <w:t>Élévation du niveau de la mer (gain possible en mouillage donc en tirant d’eau)</w:t>
            </w:r>
          </w:p>
          <w:p w14:paraId="6CCF3243" w14:textId="77777777" w:rsidR="001C1EBA" w:rsidRDefault="001C1EBA" w:rsidP="00EF39BE"/>
          <w:p w14:paraId="63C83404" w14:textId="0C5E5AF4" w:rsidR="001C1EBA" w:rsidRDefault="001C1EBA" w:rsidP="00EF39BE">
            <w:r>
              <w:t xml:space="preserve">Recul du trait de côte / </w:t>
            </w:r>
            <w:r w:rsidRPr="00F81E45">
              <w:t>Érosion</w:t>
            </w:r>
            <w:r w:rsidR="000B050E" w:rsidRPr="00F81E45">
              <w:t xml:space="preserve"> </w:t>
            </w:r>
          </w:p>
          <w:p w14:paraId="12806B14" w14:textId="77777777" w:rsidR="001C1EBA" w:rsidRDefault="001C1EBA" w:rsidP="00EF39BE"/>
          <w:p w14:paraId="639887C6" w14:textId="77777777" w:rsidR="001C1EBA" w:rsidRDefault="001C1EBA" w:rsidP="00EF39BE">
            <w:r>
              <w:t>Brumes de sable (continuité de l’exploitation et santé des travailleurs)</w:t>
            </w:r>
          </w:p>
          <w:p w14:paraId="6D9DA8E5" w14:textId="77777777" w:rsidR="001C1EBA" w:rsidRDefault="001C1EBA" w:rsidP="00EF39BE"/>
          <w:p w14:paraId="54653D98" w14:textId="77777777" w:rsidR="001C1EBA" w:rsidRDefault="001C1EBA" w:rsidP="00EF39BE">
            <w:r>
              <w:t>Orage, foudre (installations électriques et informatiques, risque humain et matériel avec impact sur l’exploitation)</w:t>
            </w:r>
          </w:p>
          <w:p w14:paraId="4AF8D958" w14:textId="77777777" w:rsidR="001C1EBA" w:rsidRDefault="001C1EBA" w:rsidP="00EF39BE"/>
          <w:p w14:paraId="47B6D8BD" w14:textId="77777777" w:rsidR="001C1EBA" w:rsidRDefault="001C1EBA" w:rsidP="00EF39BE">
            <w:r>
              <w:t>Vents forts : nombre de jours et vitesse (exploitation des grues)</w:t>
            </w:r>
          </w:p>
          <w:p w14:paraId="4CA5A759" w14:textId="77777777" w:rsidR="001C1EBA" w:rsidRDefault="001C1EBA" w:rsidP="00EF39BE"/>
          <w:p w14:paraId="0A11CF43" w14:textId="77777777" w:rsidR="001C1EBA" w:rsidRDefault="001C1EBA" w:rsidP="00EF39BE">
            <w:r>
              <w:t>Précipitations (dimensionnement hydraulique)</w:t>
            </w:r>
          </w:p>
          <w:p w14:paraId="6848ED38" w14:textId="77777777" w:rsidR="001C1EBA" w:rsidRDefault="001C1EBA" w:rsidP="00E45AE5">
            <w:pPr>
              <w:pStyle w:val="Paragraphedeliste"/>
              <w:numPr>
                <w:ilvl w:val="0"/>
                <w:numId w:val="7"/>
              </w:numPr>
            </w:pPr>
            <w:r>
              <w:t>Moyenne journalière</w:t>
            </w:r>
          </w:p>
          <w:p w14:paraId="50C159CE" w14:textId="77777777" w:rsidR="001C1EBA" w:rsidRDefault="001C1EBA" w:rsidP="00E45AE5">
            <w:pPr>
              <w:pStyle w:val="Paragraphedeliste"/>
              <w:numPr>
                <w:ilvl w:val="0"/>
                <w:numId w:val="7"/>
              </w:numPr>
            </w:pPr>
            <w:r>
              <w:t>Cumul des précipitations</w:t>
            </w:r>
          </w:p>
          <w:p w14:paraId="249F1339" w14:textId="53642CEF" w:rsidR="001C1EBA" w:rsidRDefault="001C1EBA" w:rsidP="00E45AE5">
            <w:pPr>
              <w:pStyle w:val="Paragraphedeliste"/>
              <w:numPr>
                <w:ilvl w:val="0"/>
                <w:numId w:val="7"/>
              </w:numPr>
            </w:pPr>
            <w:r>
              <w:t>Saisonnalité (suivi de loin)</w:t>
            </w:r>
          </w:p>
          <w:p w14:paraId="451CB161" w14:textId="706DF24B" w:rsidR="00AE3BAE" w:rsidRDefault="00AE3BAE" w:rsidP="00E45AE5">
            <w:pPr>
              <w:pStyle w:val="Paragraphedeliste"/>
              <w:numPr>
                <w:ilvl w:val="0"/>
                <w:numId w:val="7"/>
              </w:numPr>
            </w:pPr>
            <w:r>
              <w:t>Précipitations fortes (hors cyclone)</w:t>
            </w:r>
          </w:p>
          <w:p w14:paraId="05B12DF4" w14:textId="77777777" w:rsidR="001C1EBA" w:rsidRDefault="001C1EBA" w:rsidP="00EF39BE"/>
          <w:p w14:paraId="793C9E9D" w14:textId="77777777" w:rsidR="001C1EBA" w:rsidRDefault="001C1EBA" w:rsidP="00EF39BE">
            <w:r>
              <w:t>Inondation par débordement de cours d’eau</w:t>
            </w:r>
          </w:p>
          <w:p w14:paraId="259DD6FC" w14:textId="77777777" w:rsidR="001C1EBA" w:rsidRDefault="001C1EBA" w:rsidP="00EF39BE"/>
          <w:p w14:paraId="334D5565" w14:textId="77777777" w:rsidR="001C1EBA" w:rsidRDefault="001C1EBA" w:rsidP="00EF39BE">
            <w:r>
              <w:t>Humidité</w:t>
            </w:r>
          </w:p>
          <w:p w14:paraId="38D1C0FC" w14:textId="77777777" w:rsidR="001C1EBA" w:rsidRDefault="001C1EBA" w:rsidP="00EF39BE"/>
          <w:p w14:paraId="61E54D59" w14:textId="77777777" w:rsidR="001C1EBA" w:rsidRDefault="001C1EBA" w:rsidP="00EF39BE">
            <w:r>
              <w:t>Circulation des océans et hydrodynamique côtière</w:t>
            </w:r>
          </w:p>
          <w:p w14:paraId="34D54C50" w14:textId="77777777" w:rsidR="001C1EBA" w:rsidRDefault="001C1EBA" w:rsidP="00E45AE5">
            <w:pPr>
              <w:pStyle w:val="Paragraphedeliste"/>
              <w:numPr>
                <w:ilvl w:val="0"/>
                <w:numId w:val="9"/>
              </w:numPr>
            </w:pPr>
            <w:r>
              <w:t>Sargasses (à confirmer selon les études)</w:t>
            </w:r>
          </w:p>
          <w:p w14:paraId="75DD7200" w14:textId="77777777" w:rsidR="001C1EBA" w:rsidRDefault="001C1EBA" w:rsidP="00E45AE5">
            <w:pPr>
              <w:pStyle w:val="Paragraphedeliste"/>
              <w:numPr>
                <w:ilvl w:val="0"/>
                <w:numId w:val="9"/>
              </w:numPr>
            </w:pPr>
            <w:r>
              <w:t>Évolution hydrodynamique côtière (hyper sédimentation, évolution hydrodynamique, dragage d’entretien)</w:t>
            </w:r>
          </w:p>
          <w:p w14:paraId="4B6B5B24" w14:textId="77777777" w:rsidR="001C1EBA" w:rsidRDefault="001C1EBA" w:rsidP="00EF39BE"/>
          <w:p w14:paraId="709458B4" w14:textId="77777777" w:rsidR="001C1EBA" w:rsidRDefault="001C1EBA" w:rsidP="00EF39BE">
            <w:r>
              <w:t>Évolution de la biodiversité en lien avec le changement climatique (compensation)</w:t>
            </w:r>
          </w:p>
          <w:p w14:paraId="061BEF6D" w14:textId="77777777" w:rsidR="001C1EBA" w:rsidRDefault="001C1EBA" w:rsidP="00EF39BE"/>
          <w:p w14:paraId="78BCC9CA" w14:textId="77777777" w:rsidR="001C1EBA" w:rsidRDefault="001C1EBA" w:rsidP="00EF39BE">
            <w:r>
              <w:t>Changement des paramètres des eaux (durée de vie des ouvrages)</w:t>
            </w:r>
          </w:p>
          <w:p w14:paraId="7D963620" w14:textId="77777777" w:rsidR="001C1EBA" w:rsidRDefault="001C1EBA" w:rsidP="00E45AE5">
            <w:pPr>
              <w:pStyle w:val="Paragraphedeliste"/>
              <w:numPr>
                <w:ilvl w:val="0"/>
                <w:numId w:val="6"/>
              </w:numPr>
            </w:pPr>
            <w:r>
              <w:t xml:space="preserve"> t° et pH</w:t>
            </w:r>
          </w:p>
          <w:p w14:paraId="06A771A0" w14:textId="77777777" w:rsidR="001C1EBA" w:rsidRDefault="001C1EBA" w:rsidP="00E45AE5">
            <w:pPr>
              <w:pStyle w:val="Paragraphedeliste"/>
              <w:numPr>
                <w:ilvl w:val="0"/>
                <w:numId w:val="6"/>
              </w:numPr>
            </w:pPr>
            <w:r>
              <w:t>Salinité</w:t>
            </w:r>
          </w:p>
        </w:tc>
      </w:tr>
      <w:tr w:rsidR="001C1EBA" w14:paraId="23B9CF5B" w14:textId="77777777" w:rsidTr="00333588">
        <w:tc>
          <w:tcPr>
            <w:tcW w:w="10233" w:type="dxa"/>
          </w:tcPr>
          <w:p w14:paraId="0E320CD4" w14:textId="77777777" w:rsidR="001C1EBA" w:rsidRDefault="001C1EBA" w:rsidP="00EF39BE">
            <w:pPr>
              <w:rPr>
                <w:b/>
                <w:bCs/>
              </w:rPr>
            </w:pPr>
            <w:r>
              <w:rPr>
                <w:b/>
                <w:bCs/>
              </w:rPr>
              <w:t>Extrêmes / exceptionnels</w:t>
            </w:r>
          </w:p>
          <w:p w14:paraId="3122EBB8" w14:textId="77777777" w:rsidR="001C1EBA" w:rsidRDefault="001C1EBA" w:rsidP="00EF39BE">
            <w:pPr>
              <w:rPr>
                <w:b/>
                <w:bCs/>
              </w:rPr>
            </w:pPr>
          </w:p>
        </w:tc>
      </w:tr>
      <w:tr w:rsidR="001C1EBA" w14:paraId="1D5AF50A" w14:textId="77777777" w:rsidTr="00333588">
        <w:tc>
          <w:tcPr>
            <w:tcW w:w="10233" w:type="dxa"/>
          </w:tcPr>
          <w:p w14:paraId="2A54A3E9" w14:textId="77777777" w:rsidR="001C1EBA" w:rsidRDefault="001C1EBA" w:rsidP="00EF39BE">
            <w:r>
              <w:t>Régime de vagues et de houle</w:t>
            </w:r>
          </w:p>
          <w:p w14:paraId="0C20F0EC" w14:textId="77777777" w:rsidR="001C1EBA" w:rsidRDefault="001C1EBA" w:rsidP="00E45AE5">
            <w:pPr>
              <w:pStyle w:val="Paragraphedeliste"/>
              <w:numPr>
                <w:ilvl w:val="0"/>
                <w:numId w:val="10"/>
              </w:numPr>
            </w:pPr>
            <w:r>
              <w:t>Houle exceptionnelle (tenue à quai des navires, ressac)</w:t>
            </w:r>
          </w:p>
          <w:p w14:paraId="66C747F4" w14:textId="77777777" w:rsidR="001C1EBA" w:rsidRDefault="001C1EBA" w:rsidP="00E45AE5">
            <w:pPr>
              <w:pStyle w:val="Paragraphedeliste"/>
              <w:numPr>
                <w:ilvl w:val="0"/>
                <w:numId w:val="10"/>
              </w:numPr>
            </w:pPr>
            <w:r>
              <w:t>Fortes précipitations</w:t>
            </w:r>
          </w:p>
          <w:p w14:paraId="06203AA7" w14:textId="61588F01" w:rsidR="001C1EBA" w:rsidRDefault="001C1EBA" w:rsidP="00E45AE5">
            <w:pPr>
              <w:pStyle w:val="Paragraphedeliste"/>
              <w:numPr>
                <w:ilvl w:val="0"/>
                <w:numId w:val="10"/>
              </w:numPr>
            </w:pPr>
            <w:r>
              <w:t xml:space="preserve">Courant/ Transport sédimentaire </w:t>
            </w:r>
            <w:r w:rsidR="00AB7C5C">
              <w:t xml:space="preserve">/ </w:t>
            </w:r>
            <w:r>
              <w:t>évolution hydrodynamique côtière</w:t>
            </w:r>
          </w:p>
          <w:p w14:paraId="1D76D86F" w14:textId="77777777" w:rsidR="001C1EBA" w:rsidRDefault="001C1EBA" w:rsidP="00E45AE5">
            <w:pPr>
              <w:pStyle w:val="Paragraphedeliste"/>
              <w:numPr>
                <w:ilvl w:val="0"/>
                <w:numId w:val="10"/>
              </w:numPr>
            </w:pPr>
            <w:r>
              <w:t>Inondation par surcharge des réseaux</w:t>
            </w:r>
          </w:p>
          <w:p w14:paraId="7359E3E7" w14:textId="77777777" w:rsidR="001C1EBA" w:rsidRDefault="001C1EBA" w:rsidP="00E45AE5">
            <w:pPr>
              <w:pStyle w:val="Paragraphedeliste"/>
              <w:numPr>
                <w:ilvl w:val="0"/>
                <w:numId w:val="10"/>
              </w:numPr>
            </w:pPr>
            <w:r>
              <w:t xml:space="preserve">Débordement de cours d’eau </w:t>
            </w:r>
          </w:p>
          <w:p w14:paraId="5A88FCFE" w14:textId="77777777" w:rsidR="001C1EBA" w:rsidRDefault="001C1EBA" w:rsidP="00E45AE5">
            <w:pPr>
              <w:pStyle w:val="Paragraphedeliste"/>
              <w:numPr>
                <w:ilvl w:val="0"/>
                <w:numId w:val="10"/>
              </w:numPr>
            </w:pPr>
            <w:r>
              <w:t xml:space="preserve">Inondation par remontée de nappe </w:t>
            </w:r>
          </w:p>
          <w:p w14:paraId="545E81A7" w14:textId="77777777" w:rsidR="001C1EBA" w:rsidRDefault="001C1EBA" w:rsidP="00EF39BE">
            <w:pPr>
              <w:ind w:left="709"/>
            </w:pPr>
          </w:p>
          <w:p w14:paraId="48A0B44A" w14:textId="77777777" w:rsidR="001C1EBA" w:rsidRDefault="001C1EBA" w:rsidP="00EF39BE">
            <w:r>
              <w:t>Submersion marine</w:t>
            </w:r>
          </w:p>
          <w:p w14:paraId="583165CE" w14:textId="77777777" w:rsidR="001C1EBA" w:rsidRDefault="001C1EBA" w:rsidP="00EF39BE"/>
          <w:p w14:paraId="7A1B7164" w14:textId="77777777" w:rsidR="001C1EBA" w:rsidRDefault="001C1EBA" w:rsidP="00EF39BE">
            <w:r>
              <w:t>Tsunamis</w:t>
            </w:r>
          </w:p>
          <w:p w14:paraId="09D9F634" w14:textId="77777777" w:rsidR="001C1EBA" w:rsidRDefault="001C1EBA" w:rsidP="00EF39BE"/>
          <w:p w14:paraId="09C6D986" w14:textId="77777777" w:rsidR="001C1EBA" w:rsidRDefault="001C1EBA" w:rsidP="00EF39BE">
            <w:r>
              <w:t xml:space="preserve">Tempêtes </w:t>
            </w:r>
          </w:p>
          <w:p w14:paraId="2C9398BC" w14:textId="77777777" w:rsidR="001C1EBA" w:rsidRDefault="001C1EBA" w:rsidP="00E45AE5">
            <w:pPr>
              <w:pStyle w:val="Paragraphedeliste"/>
              <w:numPr>
                <w:ilvl w:val="0"/>
                <w:numId w:val="11"/>
              </w:numPr>
            </w:pPr>
            <w:r>
              <w:t>En mer (navigation océanique)</w:t>
            </w:r>
          </w:p>
          <w:p w14:paraId="355740D6" w14:textId="77777777" w:rsidR="001C1EBA" w:rsidRDefault="001C1EBA" w:rsidP="00E45AE5">
            <w:pPr>
              <w:pStyle w:val="Paragraphedeliste"/>
              <w:numPr>
                <w:ilvl w:val="0"/>
                <w:numId w:val="11"/>
              </w:numPr>
            </w:pPr>
            <w:r>
              <w:t>Grêle</w:t>
            </w:r>
          </w:p>
          <w:p w14:paraId="6F5F11BA" w14:textId="77777777" w:rsidR="001C1EBA" w:rsidRDefault="001C1EBA" w:rsidP="00E45AE5">
            <w:pPr>
              <w:pStyle w:val="Paragraphedeliste"/>
              <w:numPr>
                <w:ilvl w:val="0"/>
                <w:numId w:val="11"/>
              </w:numPr>
            </w:pPr>
            <w:r>
              <w:t>Tornades, trombes</w:t>
            </w:r>
          </w:p>
          <w:p w14:paraId="2D38116B" w14:textId="77777777" w:rsidR="001C1EBA" w:rsidRDefault="001C1EBA" w:rsidP="00EF39BE"/>
          <w:p w14:paraId="5B0111A8" w14:textId="77777777" w:rsidR="001C1EBA" w:rsidRDefault="001C1EBA" w:rsidP="00EF39BE">
            <w:r>
              <w:lastRenderedPageBreak/>
              <w:t>Températures extrêmes</w:t>
            </w:r>
          </w:p>
          <w:p w14:paraId="530F476D" w14:textId="77777777" w:rsidR="001C1EBA" w:rsidRDefault="001C1EBA" w:rsidP="00E45AE5">
            <w:pPr>
              <w:pStyle w:val="Paragraphedeliste"/>
              <w:numPr>
                <w:ilvl w:val="0"/>
                <w:numId w:val="12"/>
              </w:numPr>
            </w:pPr>
            <w:r>
              <w:t>Canicules</w:t>
            </w:r>
          </w:p>
          <w:p w14:paraId="0C3401EF" w14:textId="77777777" w:rsidR="001C1EBA" w:rsidRDefault="001C1EBA" w:rsidP="00E45AE5">
            <w:pPr>
              <w:pStyle w:val="Paragraphedeliste"/>
              <w:numPr>
                <w:ilvl w:val="0"/>
                <w:numId w:val="12"/>
              </w:numPr>
            </w:pPr>
            <w:r>
              <w:t>Sécheresses</w:t>
            </w:r>
          </w:p>
          <w:p w14:paraId="423ADF6D" w14:textId="77777777" w:rsidR="001C1EBA" w:rsidRDefault="001C1EBA" w:rsidP="00E45AE5">
            <w:pPr>
              <w:pStyle w:val="Paragraphedeliste"/>
              <w:numPr>
                <w:ilvl w:val="0"/>
                <w:numId w:val="12"/>
              </w:numPr>
            </w:pPr>
            <w:r>
              <w:t>Feux de végétation</w:t>
            </w:r>
          </w:p>
          <w:p w14:paraId="679A3BE0" w14:textId="77777777" w:rsidR="001C1EBA" w:rsidRDefault="001C1EBA" w:rsidP="00EF39BE"/>
          <w:p w14:paraId="22F7F411" w14:textId="77777777" w:rsidR="001C1EBA" w:rsidRDefault="001C1EBA" w:rsidP="00EF39BE">
            <w:r>
              <w:t>Invasions / proliférations d’insectes</w:t>
            </w:r>
          </w:p>
        </w:tc>
      </w:tr>
    </w:tbl>
    <w:p w14:paraId="45773156" w14:textId="77777777" w:rsidR="001C1EBA" w:rsidRDefault="001C1EBA" w:rsidP="00EF39BE"/>
    <w:tbl>
      <w:tblPr>
        <w:tblStyle w:val="Grilledutableau"/>
        <w:tblW w:w="10199" w:type="dxa"/>
        <w:tblLayout w:type="fixed"/>
        <w:tblLook w:val="04A0" w:firstRow="1" w:lastRow="0" w:firstColumn="1" w:lastColumn="0" w:noHBand="0" w:noVBand="1"/>
      </w:tblPr>
      <w:tblGrid>
        <w:gridCol w:w="10199"/>
      </w:tblGrid>
      <w:tr w:rsidR="001C1EBA" w14:paraId="5E9BD4E7" w14:textId="77777777" w:rsidTr="00333588">
        <w:tc>
          <w:tcPr>
            <w:tcW w:w="10199" w:type="dxa"/>
          </w:tcPr>
          <w:p w14:paraId="08AC8CA2" w14:textId="77777777" w:rsidR="001C1EBA" w:rsidRDefault="001C1EBA" w:rsidP="00EF39BE">
            <w:pPr>
              <w:rPr>
                <w:b/>
                <w:bCs/>
              </w:rPr>
            </w:pPr>
            <w:r>
              <w:rPr>
                <w:b/>
                <w:bCs/>
              </w:rPr>
              <w:t>Aléas non retenus</w:t>
            </w:r>
          </w:p>
        </w:tc>
      </w:tr>
      <w:tr w:rsidR="001C1EBA" w14:paraId="68AA415C" w14:textId="77777777" w:rsidTr="00333588">
        <w:tc>
          <w:tcPr>
            <w:tcW w:w="10199" w:type="dxa"/>
          </w:tcPr>
          <w:p w14:paraId="08DDFCE8" w14:textId="560CA8E4" w:rsidR="001C1EBA" w:rsidRDefault="001C1EBA" w:rsidP="00EF39BE">
            <w:r>
              <w:t>Cyclones</w:t>
            </w:r>
          </w:p>
          <w:p w14:paraId="675A1943" w14:textId="5FF47457" w:rsidR="001C1EBA" w:rsidRDefault="001C1EBA" w:rsidP="00EF39BE">
            <w:r>
              <w:t>Grand froid</w:t>
            </w:r>
          </w:p>
          <w:p w14:paraId="2E48F384" w14:textId="34194966" w:rsidR="001C1EBA" w:rsidRDefault="001C1EBA" w:rsidP="00EF39BE">
            <w:r>
              <w:t>Brouillard</w:t>
            </w:r>
          </w:p>
          <w:p w14:paraId="4B326118" w14:textId="739CD9E3" w:rsidR="001C1EBA" w:rsidRDefault="001C1EBA" w:rsidP="00EF39BE">
            <w:r>
              <w:t>Neige</w:t>
            </w:r>
          </w:p>
          <w:p w14:paraId="7C10542B" w14:textId="25061193" w:rsidR="001C1EBA" w:rsidRDefault="001C1EBA" w:rsidP="00EF39BE">
            <w:r>
              <w:t xml:space="preserve">Ruissellement </w:t>
            </w:r>
          </w:p>
          <w:p w14:paraId="78709F08" w14:textId="72479538" w:rsidR="001C1EBA" w:rsidRDefault="001C1EBA" w:rsidP="00EF39BE">
            <w:r>
              <w:t xml:space="preserve">Étiage (régime hydraulique du </w:t>
            </w:r>
            <w:proofErr w:type="spellStart"/>
            <w:r>
              <w:t>Mahury</w:t>
            </w:r>
            <w:proofErr w:type="spellEnd"/>
            <w:r>
              <w:t xml:space="preserve"> non étudié aux échéances de l’étude de résilience du port)</w:t>
            </w:r>
          </w:p>
          <w:p w14:paraId="611FC767" w14:textId="16DF7104" w:rsidR="001C1EBA" w:rsidRDefault="001C1EBA" w:rsidP="00EF39BE">
            <w:r>
              <w:t>Battement de nappe</w:t>
            </w:r>
          </w:p>
          <w:p w14:paraId="5B8F716D" w14:textId="725A0793" w:rsidR="001C1EBA" w:rsidRDefault="001C1EBA" w:rsidP="00EF39BE">
            <w:r>
              <w:t>Chute de bloc, éboulement</w:t>
            </w:r>
          </w:p>
          <w:p w14:paraId="66141FF3" w14:textId="0C77A935" w:rsidR="001C1EBA" w:rsidRDefault="001C1EBA" w:rsidP="00EF39BE">
            <w:r>
              <w:t>Coulée de boue</w:t>
            </w:r>
          </w:p>
          <w:p w14:paraId="6E39F602" w14:textId="5A65DA82" w:rsidR="001C1EBA" w:rsidRDefault="001C1EBA" w:rsidP="00EF39BE">
            <w:r>
              <w:t>Effondrement, affaissement, tassement</w:t>
            </w:r>
          </w:p>
          <w:p w14:paraId="44CCC7E8" w14:textId="50DB9759" w:rsidR="001C1EBA" w:rsidRDefault="001C1EBA" w:rsidP="00EF39BE">
            <w:r>
              <w:t>Cavités souterraines</w:t>
            </w:r>
          </w:p>
          <w:p w14:paraId="37B650C2" w14:textId="6D36E671" w:rsidR="001C1EBA" w:rsidRDefault="001C1EBA" w:rsidP="00EF39BE">
            <w:r>
              <w:t>Glissement de terrain</w:t>
            </w:r>
          </w:p>
          <w:p w14:paraId="3574706F" w14:textId="2291658D" w:rsidR="001C1EBA" w:rsidRDefault="001C1EBA" w:rsidP="00EF39BE">
            <w:r>
              <w:t xml:space="preserve">Retrait et gonflement des argiles </w:t>
            </w:r>
          </w:p>
          <w:p w14:paraId="504DC6F8" w14:textId="3234516E" w:rsidR="001C1EBA" w:rsidRDefault="001C1EBA" w:rsidP="00EF39BE">
            <w:r>
              <w:t>Radon (l’île de Cayenne est classée en Catégorie 1 au regard de l’exposition au Radon)</w:t>
            </w:r>
          </w:p>
          <w:p w14:paraId="1C5F603D" w14:textId="0600E04C" w:rsidR="001C1EBA" w:rsidRDefault="001C1EBA" w:rsidP="00EF39BE">
            <w:r>
              <w:t>Séisme (la Guyane est éloignée dans zones de confrontation des plaques continentales)</w:t>
            </w:r>
          </w:p>
          <w:p w14:paraId="11FBC3A1" w14:textId="77777777" w:rsidR="001C1EBA" w:rsidRDefault="001C1EBA" w:rsidP="00EF39BE">
            <w:r>
              <w:t xml:space="preserve">Liquéfaction des sols </w:t>
            </w:r>
          </w:p>
          <w:p w14:paraId="028CA533" w14:textId="77777777" w:rsidR="001C1EBA" w:rsidRDefault="001C1EBA" w:rsidP="00EF39BE"/>
        </w:tc>
      </w:tr>
    </w:tbl>
    <w:p w14:paraId="7CEAE109" w14:textId="59C80FA7" w:rsidR="001C1EBA" w:rsidRPr="001C1EBA" w:rsidRDefault="007A31BD" w:rsidP="00EF39BE">
      <w:r>
        <w:br w:type="page"/>
      </w:r>
    </w:p>
    <w:p w14:paraId="58142041" w14:textId="4F04A394" w:rsidR="00F476E5" w:rsidRDefault="00F476E5" w:rsidP="00EF39BE">
      <w:pPr>
        <w:pStyle w:val="Titre1"/>
      </w:pPr>
      <w:bookmarkStart w:id="27" w:name="_Toc227684051"/>
      <w:bookmarkStart w:id="28" w:name="_Ref228958035"/>
      <w:bookmarkStart w:id="29" w:name="_Ref228958037"/>
      <w:bookmarkStart w:id="30" w:name="_Ref228958042"/>
      <w:bookmarkStart w:id="31" w:name="_Toc235518173"/>
      <w:r>
        <w:lastRenderedPageBreak/>
        <w:t>Description des missions de l’étude</w:t>
      </w:r>
      <w:bookmarkEnd w:id="27"/>
      <w:bookmarkEnd w:id="28"/>
      <w:bookmarkEnd w:id="29"/>
      <w:bookmarkEnd w:id="30"/>
      <w:bookmarkEnd w:id="31"/>
    </w:p>
    <w:p w14:paraId="321F28A5" w14:textId="73F04B03" w:rsidR="00165C01" w:rsidRDefault="001C3340" w:rsidP="0074462C">
      <w:pPr>
        <w:ind w:firstLine="432"/>
      </w:pPr>
      <w:r>
        <w:t>La méthodologie d’analyse de vulnérabilité et de résilience au changement climatique est itérative</w:t>
      </w:r>
      <w:r w:rsidR="00547EF8">
        <w:t xml:space="preserve"> : l’étude sera réalisée dans l’ordre proposé dans le présent chapitre, mais des itérations entre les différentes parties </w:t>
      </w:r>
      <w:r w:rsidR="006B75EE">
        <w:t>pourront être</w:t>
      </w:r>
      <w:r w:rsidR="00547EF8">
        <w:t xml:space="preserve"> nécessaires.</w:t>
      </w:r>
    </w:p>
    <w:p w14:paraId="23A3AFE4" w14:textId="442D6172" w:rsidR="00547EF8" w:rsidRDefault="00547EF8" w:rsidP="00EF39BE"/>
    <w:p w14:paraId="1C0023CA" w14:textId="647AB271" w:rsidR="00547EF8" w:rsidRDefault="006B75EE" w:rsidP="0074462C">
      <w:r>
        <w:tab/>
      </w:r>
      <w:r w:rsidR="00E45347">
        <w:t>Les modes opératoires mis en œuvre pour réaliser l’étude et les résultats de chacune des parties seront détaillés dans des livrables intermédiaires mis à disposition de l’équipe projet et soumis à sa validation. Ils devront également être détaillés dans le livrable final (cf. chapitre 5 « Livrables, pilotage et calendrier de l’étude »).</w:t>
      </w:r>
    </w:p>
    <w:p w14:paraId="6961A989" w14:textId="0EA81E80" w:rsidR="00165C01" w:rsidRDefault="00165C01" w:rsidP="00EF39BE"/>
    <w:p w14:paraId="62A6D6CF" w14:textId="31F3692A" w:rsidR="00E45347" w:rsidRDefault="00E45347" w:rsidP="00EF39BE">
      <w:pPr>
        <w:rPr>
          <w:b/>
          <w:bCs/>
        </w:rPr>
      </w:pPr>
      <w:r w:rsidRPr="00E45347">
        <w:rPr>
          <w:b/>
          <w:bCs/>
        </w:rPr>
        <w:t xml:space="preserve">Le prestataire sera particulièrement attentif au vocabulaire utilisé : il utilisera le vocabulaire du présent cahier des charges. </w:t>
      </w:r>
    </w:p>
    <w:p w14:paraId="0953F8FC" w14:textId="1AB733C8" w:rsidR="008B1F62" w:rsidRDefault="008B1F62" w:rsidP="00EF39BE">
      <w:pPr>
        <w:rPr>
          <w:b/>
          <w:bCs/>
        </w:rPr>
      </w:pPr>
    </w:p>
    <w:p w14:paraId="72CE11F2" w14:textId="3EBC2D2C" w:rsidR="008B1F62" w:rsidRDefault="006B01C6" w:rsidP="008B1F62">
      <w:pPr>
        <w:rPr>
          <w:color w:val="292574"/>
        </w:rPr>
      </w:pPr>
      <w:r>
        <w:rPr>
          <w:color w:val="292574"/>
          <w:shd w:val="clear" w:color="auto" w:fill="FFFFFF"/>
        </w:rPr>
        <w:t>Les phases ci-après sont une</w:t>
      </w:r>
      <w:r w:rsidR="008B1F62">
        <w:rPr>
          <w:color w:val="292574"/>
          <w:shd w:val="clear" w:color="auto" w:fill="FFFFFF"/>
        </w:rPr>
        <w:t xml:space="preserve"> </w:t>
      </w:r>
      <w:r w:rsidR="008B1F62">
        <w:rPr>
          <w:color w:val="292574"/>
          <w:u w:val="single"/>
          <w:shd w:val="clear" w:color="auto" w:fill="FFFFFF"/>
        </w:rPr>
        <w:t>grille de lecture</w:t>
      </w:r>
      <w:r w:rsidR="008B1F62">
        <w:rPr>
          <w:color w:val="292574"/>
          <w:shd w:val="clear" w:color="auto" w:fill="FFFFFF"/>
        </w:rPr>
        <w:t xml:space="preserve"> pour </w:t>
      </w:r>
      <w:r>
        <w:rPr>
          <w:color w:val="292574"/>
          <w:shd w:val="clear" w:color="auto" w:fill="FFFFFF"/>
        </w:rPr>
        <w:t>la mission. L’important pour la mission sont les résultats et livrables attendus.</w:t>
      </w:r>
    </w:p>
    <w:p w14:paraId="66935996" w14:textId="77777777" w:rsidR="008B1F62" w:rsidRDefault="008B1F62" w:rsidP="008B1F62">
      <w:pPr>
        <w:rPr>
          <w:color w:val="292574"/>
          <w:shd w:val="clear" w:color="auto" w:fill="FFFFFF"/>
        </w:rPr>
      </w:pPr>
    </w:p>
    <w:p w14:paraId="3DE0C641" w14:textId="3887FECB" w:rsidR="008B1F62" w:rsidRDefault="008B1F62" w:rsidP="0074787D">
      <w:pPr>
        <w:pStyle w:val="Titre2"/>
      </w:pPr>
      <w:bookmarkStart w:id="32" w:name="_Toc235518174"/>
      <w:r>
        <w:rPr>
          <w:shd w:val="clear" w:color="auto" w:fill="FFFFFF"/>
        </w:rPr>
        <w:t xml:space="preserve">Phase 1 – </w:t>
      </w:r>
      <w:r w:rsidR="00242DF0">
        <w:t>Confirmation et caractérisation du périmètre d'étude</w:t>
      </w:r>
      <w:bookmarkEnd w:id="32"/>
    </w:p>
    <w:p w14:paraId="732281A1" w14:textId="62164201" w:rsidR="008B1F62" w:rsidRDefault="008B1F62" w:rsidP="008B1F62">
      <w:pPr>
        <w:rPr>
          <w:color w:val="292574"/>
          <w:shd w:val="clear" w:color="auto" w:fill="FFFFFF"/>
        </w:rPr>
      </w:pPr>
      <w:r>
        <w:rPr>
          <w:color w:val="292574"/>
          <w:shd w:val="clear" w:color="auto" w:fill="FFFFFF"/>
        </w:rPr>
        <w:t>(Regroupe les étapes 1 et 2 de la méthode ASAIT : Définition des objectifs, des périmètres et de la gouvernance et Identification, sélection et catégorisation des infrastructures et fonctionnalités)</w:t>
      </w:r>
    </w:p>
    <w:p w14:paraId="0AEF00BA" w14:textId="0DFB8351" w:rsidR="0074787D" w:rsidRDefault="0074787D" w:rsidP="008B1F62">
      <w:pPr>
        <w:rPr>
          <w:color w:val="292574"/>
          <w:shd w:val="clear" w:color="auto" w:fill="FFFFFF"/>
        </w:rPr>
      </w:pPr>
    </w:p>
    <w:p w14:paraId="04E96032" w14:textId="7D2CC47F" w:rsidR="0074787D" w:rsidRDefault="0074787D" w:rsidP="0074462C">
      <w:pPr>
        <w:ind w:firstLine="708"/>
        <w:rPr>
          <w:color w:val="292574"/>
          <w:shd w:val="clear" w:color="auto" w:fill="FFFFFF"/>
        </w:rPr>
      </w:pPr>
      <w:r>
        <w:rPr>
          <w:color w:val="292574"/>
          <w:shd w:val="clear" w:color="auto" w:fill="FFFFFF"/>
        </w:rPr>
        <w:t>L’étape 1 de la méthode ASAIT réalisée en 2025 a permis d’établir les périmètres des infrastructures et des fonctionnalités à étudier, présentés au chapitre précédent. Ces périmètres sont globaux et devront être précisés.</w:t>
      </w:r>
    </w:p>
    <w:p w14:paraId="397B3B71" w14:textId="47A428E7" w:rsidR="0074787D" w:rsidRDefault="0074787D" w:rsidP="008B1F62">
      <w:pPr>
        <w:rPr>
          <w:color w:val="292574"/>
          <w:shd w:val="clear" w:color="auto" w:fill="FFFFFF"/>
        </w:rPr>
      </w:pPr>
    </w:p>
    <w:p w14:paraId="7FC2115D" w14:textId="152A4CBD" w:rsidR="0074787D" w:rsidRDefault="0074787D" w:rsidP="008B1F62">
      <w:pPr>
        <w:rPr>
          <w:color w:val="292574"/>
          <w:shd w:val="clear" w:color="auto" w:fill="FFFFFF"/>
        </w:rPr>
      </w:pPr>
      <w:r>
        <w:rPr>
          <w:color w:val="292574"/>
          <w:shd w:val="clear" w:color="auto" w:fill="FFFFFF"/>
        </w:rPr>
        <w:t>Cette phase 1 a pour objectif d’établir :</w:t>
      </w:r>
    </w:p>
    <w:p w14:paraId="2E35478B" w14:textId="0E0EC51A" w:rsidR="0074787D" w:rsidRDefault="0074787D" w:rsidP="00E45AE5">
      <w:pPr>
        <w:pStyle w:val="Paragraphedeliste"/>
        <w:numPr>
          <w:ilvl w:val="0"/>
          <w:numId w:val="33"/>
        </w:numPr>
        <w:suppressAutoHyphens/>
        <w:spacing w:after="200" w:line="276" w:lineRule="auto"/>
      </w:pPr>
      <w:r>
        <w:t>D’une part, de manière détaillée la liste des actifs et des fonctionnalités à traiter dans le cadre de l’étude ;</w:t>
      </w:r>
    </w:p>
    <w:p w14:paraId="4D0659DD" w14:textId="5CF932CE" w:rsidR="0074787D" w:rsidRDefault="0074787D" w:rsidP="00E45AE5">
      <w:pPr>
        <w:pStyle w:val="Paragraphedeliste"/>
        <w:numPr>
          <w:ilvl w:val="0"/>
          <w:numId w:val="33"/>
        </w:numPr>
        <w:suppressAutoHyphens/>
        <w:spacing w:after="200" w:line="276" w:lineRule="auto"/>
      </w:pPr>
      <w:r>
        <w:t>D’autre part les interrelations à considérer entre le Port et le territoire guyanais.</w:t>
      </w:r>
    </w:p>
    <w:p w14:paraId="39340BA8" w14:textId="521C78BC" w:rsidR="0074462C" w:rsidRDefault="006B75EE" w:rsidP="0074787D">
      <w:r>
        <w:tab/>
      </w:r>
      <w:r w:rsidR="0074787D">
        <w:t>L’objectif de cette première sous-étape est de décomposer et structurer les infrastructures et l’ensemble des éléments qui permettent le fonctionnement du GPMG en des systèmes ponctuels puis en composants si nécessaire. Ces découpages permettront ultérieurement de réaliser la caractérisation des sensibilités de chaque composant et système. Ce travail de décomposition est mené en parallèle d’une attribution des fonctionnalités aux infrastructures ou composants.</w:t>
      </w:r>
    </w:p>
    <w:p w14:paraId="0D20C086" w14:textId="77777777" w:rsidR="0074462C" w:rsidRDefault="0074462C" w:rsidP="0074787D"/>
    <w:p w14:paraId="420BAB66" w14:textId="29509C6A" w:rsidR="0074462C" w:rsidRDefault="006B75EE" w:rsidP="0074787D">
      <w:r>
        <w:tab/>
      </w:r>
      <w:r w:rsidR="0074787D">
        <w:t xml:space="preserve">Ce travail est généralement réalisé par itération pour adapter le niveau de détail aux besoins de l’analyse et aux données disponibles. Il est ainsi recommandé de réaliser une première décomposition en grandes familles de systèmes ponctuels. </w:t>
      </w:r>
    </w:p>
    <w:p w14:paraId="2F0C9DAB" w14:textId="77777777" w:rsidR="0074462C" w:rsidRDefault="0074462C" w:rsidP="0074787D"/>
    <w:p w14:paraId="128D1DA9" w14:textId="148D595D" w:rsidR="0074787D" w:rsidRDefault="006B75EE" w:rsidP="0074787D">
      <w:r>
        <w:tab/>
      </w:r>
      <w:r w:rsidR="0074787D">
        <w:t xml:space="preserve">Cette décomposition pourra être affinée par la recherche de composants plus élémentaires si le besoin apparaît dans l’analyse et que les données adéquates sont disponibles. Il est donc possible de revenir sur cette étape dans le processus d’analyse de risque au changement climatique pour adapter le niveau de détail aux besoins. Il est recommandé pour cela de bien catégoriser les systèmes ponctuels et les composants pour faciliter le travail ultérieur. </w:t>
      </w:r>
    </w:p>
    <w:p w14:paraId="4AB79E2E" w14:textId="77777777" w:rsidR="0074787D" w:rsidRDefault="0074787D" w:rsidP="0074787D">
      <w:pPr>
        <w:pStyle w:val="NormalNoir"/>
        <w:jc w:val="center"/>
      </w:pPr>
      <w:r>
        <w:rPr>
          <w:noProof/>
          <w:lang w:eastAsia="fr-FR"/>
        </w:rPr>
        <w:lastRenderedPageBreak/>
        <w:drawing>
          <wp:inline distT="0" distB="0" distL="0" distR="0" wp14:anchorId="431E1912" wp14:editId="74B4AB0A">
            <wp:extent cx="5230495" cy="2409190"/>
            <wp:effectExtent l="0" t="0" r="0" b="0"/>
            <wp:docPr id="3"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63"/>
                    <pic:cNvPicPr>
                      <a:picLocks noChangeAspect="1" noChangeArrowheads="1"/>
                    </pic:cNvPicPr>
                  </pic:nvPicPr>
                  <pic:blipFill>
                    <a:blip r:embed="rId14"/>
                    <a:stretch>
                      <a:fillRect/>
                    </a:stretch>
                  </pic:blipFill>
                  <pic:spPr bwMode="auto">
                    <a:xfrm>
                      <a:off x="0" y="0"/>
                      <a:ext cx="5230495" cy="2409190"/>
                    </a:xfrm>
                    <a:prstGeom prst="rect">
                      <a:avLst/>
                    </a:prstGeom>
                  </pic:spPr>
                </pic:pic>
              </a:graphicData>
            </a:graphic>
          </wp:inline>
        </w:drawing>
      </w:r>
    </w:p>
    <w:p w14:paraId="013C36FD" w14:textId="77777777" w:rsidR="0074787D" w:rsidRDefault="0074787D" w:rsidP="0074787D">
      <w:pPr>
        <w:pStyle w:val="Lgende"/>
        <w:jc w:val="center"/>
      </w:pPr>
      <w:r>
        <w:t>Schématisation de la démarche itérative de l’analyse de vulnérabilité : le niveau de détail est fonction des besoins, généralement plus élevés lorsque la sensibilité de l’infrastructure augmente.</w:t>
      </w:r>
    </w:p>
    <w:p w14:paraId="3C20959E" w14:textId="77777777" w:rsidR="006B75EE" w:rsidRDefault="0074787D" w:rsidP="006B75EE">
      <w:pPr>
        <w:ind w:firstLine="708"/>
      </w:pPr>
      <w:r>
        <w:t xml:space="preserve">Lors de cette étape, il est important d’établir, dans la mesure du possible, des liens entre les composants et les aléas déjà identifiés. Ce travail permet de cibler des systèmes ou des composants qui peuvent potentiellement présenter des risques au regard des évolutions climatiques connues. Il ne vise pas à ce stade à décrire précisément les impacts possibles des évènements climatiques sur les composants et systèmes, cela sera réalisé dans le cadre de l’analyse de sensibilité. Cependant il est important d’identifier ces impacts dès cette étape pour ne pas omettre des composants ou systèmes qui présenteraient des risques importants. </w:t>
      </w:r>
    </w:p>
    <w:p w14:paraId="2D8DFF0C" w14:textId="62598720" w:rsidR="0074462C" w:rsidRDefault="006B75EE" w:rsidP="006B75EE">
      <w:pPr>
        <w:ind w:firstLine="708"/>
      </w:pPr>
      <w:r>
        <w:t xml:space="preserve">Les composants de cette liste devront être caractérisés, ce qui permettra de </w:t>
      </w:r>
      <w:r w:rsidR="0074787D">
        <w:t xml:space="preserve">déjà faire apparaître certaines spécificités utiles à l’analyse de risque. Pour les chaussées par exemple, on pourra mentionner les différents types de revêtements rencontrés, car cette information peut avoir une importance dans la suite de l’étude pour l’analyse de sensibilité. </w:t>
      </w:r>
    </w:p>
    <w:p w14:paraId="458F618A" w14:textId="56219B8E" w:rsidR="0074787D" w:rsidRDefault="006B75EE" w:rsidP="0074787D">
      <w:r>
        <w:tab/>
      </w:r>
      <w:r w:rsidR="0074787D">
        <w:t>Cette liste peut également comporter une priorisation au regard des objectifs définis lors du cadrage de l’étude (étape 1). Cela permet de disposer d’une hiérarchisation qui peut être utile au choix du niveau de détail de la décomposition réalisée</w:t>
      </w:r>
      <w:r>
        <w:t>.</w:t>
      </w:r>
    </w:p>
    <w:p w14:paraId="0C5EF14A" w14:textId="315B5915" w:rsidR="0074787D" w:rsidRDefault="0074787D" w:rsidP="0074787D"/>
    <w:p w14:paraId="68029397" w14:textId="279025E7" w:rsidR="0074787D" w:rsidRDefault="0074787D" w:rsidP="0074462C">
      <w:pPr>
        <w:ind w:firstLine="708"/>
      </w:pPr>
      <w:r>
        <w:t xml:space="preserve">Dans un deuxième temps, le groupement identifiera l’ensemble des fonctions guyanaises qui dépendent directement de l’activité du port, tel que certains produits alimentaires non produits en Guyane par exemple. L’objectif est, pour cette étape, d’inscrire le port dans le système plus global du fonctionnement de la Guyane et de préciser le niveau de dépendance </w:t>
      </w:r>
      <w:r w:rsidR="006B75EE">
        <w:t>du territoire</w:t>
      </w:r>
      <w:r>
        <w:t xml:space="preserve"> au fonctionnement du GPMG sur le </w:t>
      </w:r>
      <w:r>
        <w:rPr>
          <w:b/>
        </w:rPr>
        <w:t>plan économique, social et environnemental</w:t>
      </w:r>
      <w:r w:rsidR="006B75EE">
        <w:rPr>
          <w:b/>
        </w:rPr>
        <w:t>.</w:t>
      </w:r>
    </w:p>
    <w:p w14:paraId="63744ED6" w14:textId="77777777" w:rsidR="0074462C" w:rsidRDefault="0074462C" w:rsidP="0074462C">
      <w:pPr>
        <w:ind w:firstLine="708"/>
      </w:pPr>
    </w:p>
    <w:p w14:paraId="45E50510" w14:textId="600ACBFC" w:rsidR="0074787D" w:rsidRDefault="006B75EE" w:rsidP="0074787D">
      <w:pPr>
        <w:rPr>
          <w:b/>
        </w:rPr>
      </w:pPr>
      <w:r>
        <w:tab/>
      </w:r>
      <w:r w:rsidR="0074787D">
        <w:t>Le groupement analysera également l’ensemble des réseaux, infrastructures et fonctionnalités du territoire nécessaire au fonctionnement du port, tel que par exemple, l’approvisionnement en énergie. L’objectif de ce recensement n’est pas de réaliser une analyse de vulnérabilité détaillée comme pour les infrastructures du port, mais</w:t>
      </w:r>
      <w:r w:rsidR="0074787D">
        <w:rPr>
          <w:b/>
        </w:rPr>
        <w:t xml:space="preserve"> d’identifier des points de vigilance pour la continuité des activités du port.</w:t>
      </w:r>
    </w:p>
    <w:p w14:paraId="136E244A" w14:textId="77777777" w:rsidR="0074462C" w:rsidRDefault="0074462C" w:rsidP="0074787D">
      <w:pPr>
        <w:rPr>
          <w:b/>
        </w:rPr>
      </w:pPr>
    </w:p>
    <w:p w14:paraId="7DFFFE4A" w14:textId="4FAB27E1" w:rsidR="0074787D" w:rsidRDefault="006B75EE" w:rsidP="0074787D">
      <w:r>
        <w:t>Ainsi</w:t>
      </w:r>
      <w:r w:rsidR="0074787D">
        <w:t xml:space="preserve"> cette étape permettra de définir les éléments du territoire environnant à analyser tout au long de l’étude.</w:t>
      </w:r>
    </w:p>
    <w:p w14:paraId="1875531F" w14:textId="77777777" w:rsidR="0074787D" w:rsidRDefault="0074787D" w:rsidP="0074787D"/>
    <w:p w14:paraId="3FEEF8A2" w14:textId="77777777" w:rsidR="0074787D" w:rsidRDefault="0074787D" w:rsidP="0074787D"/>
    <w:p w14:paraId="289DBF94" w14:textId="77777777" w:rsidR="0074787D" w:rsidRDefault="0074787D" w:rsidP="0074787D">
      <w:pPr>
        <w:pStyle w:val="NormalNoir"/>
        <w:pBdr>
          <w:top w:val="single" w:sz="4" w:space="1" w:color="000000"/>
          <w:left w:val="single" w:sz="4" w:space="4" w:color="000000"/>
          <w:bottom w:val="single" w:sz="4" w:space="1" w:color="000000"/>
          <w:right w:val="single" w:sz="4" w:space="4" w:color="000000"/>
        </w:pBdr>
        <w:jc w:val="center"/>
        <w:rPr>
          <w:color w:val="auto"/>
        </w:rPr>
      </w:pPr>
      <w:r>
        <w:rPr>
          <w:color w:val="auto"/>
        </w:rPr>
        <w:t>Livrables</w:t>
      </w:r>
    </w:p>
    <w:p w14:paraId="7193BB24" w14:textId="711A56FE" w:rsidR="001630D0" w:rsidRDefault="00803F79" w:rsidP="001630D0">
      <w:r>
        <w:t>Pour la phase 1, il est attendu un rapport qui comprendra</w:t>
      </w:r>
      <w:r w:rsidR="001630D0">
        <w:t> :</w:t>
      </w:r>
    </w:p>
    <w:p w14:paraId="2BDF6ACD" w14:textId="77777777" w:rsidR="0083779F" w:rsidRDefault="0083779F" w:rsidP="001630D0"/>
    <w:p w14:paraId="7A3F01BC" w14:textId="0372F3B8" w:rsidR="0074787D" w:rsidRPr="0074462C" w:rsidRDefault="001630D0" w:rsidP="00E45AE5">
      <w:pPr>
        <w:pStyle w:val="Paragraphedeliste"/>
        <w:numPr>
          <w:ilvl w:val="0"/>
          <w:numId w:val="55"/>
        </w:numPr>
        <w:rPr>
          <w:color w:val="auto"/>
        </w:rPr>
      </w:pPr>
      <w:r>
        <w:t>La</w:t>
      </w:r>
      <w:r w:rsidR="0074787D">
        <w:t xml:space="preserve"> liste des systèmes ponctuels et des composants nécessaires à l’analyse de risque, leur caractérisation et une proposition de hiérarchisation.</w:t>
      </w:r>
    </w:p>
    <w:p w14:paraId="6BFC7C3C" w14:textId="77777777" w:rsidR="0074462C" w:rsidRPr="001630D0" w:rsidRDefault="0074462C" w:rsidP="0074462C">
      <w:pPr>
        <w:pStyle w:val="Paragraphedeliste"/>
        <w:ind w:left="780"/>
        <w:rPr>
          <w:color w:val="auto"/>
        </w:rPr>
      </w:pPr>
    </w:p>
    <w:p w14:paraId="536A49E7" w14:textId="1B1B1778" w:rsidR="0074787D" w:rsidRDefault="0074787D" w:rsidP="00E45AE5">
      <w:pPr>
        <w:pStyle w:val="Paragraphedeliste"/>
        <w:numPr>
          <w:ilvl w:val="0"/>
          <w:numId w:val="55"/>
        </w:numPr>
        <w:suppressAutoHyphens/>
        <w:spacing w:after="200" w:line="276" w:lineRule="auto"/>
      </w:pPr>
      <w:r>
        <w:t xml:space="preserve">Les éléments structurants du port permettant le fonctionnement du territoire </w:t>
      </w:r>
      <w:r w:rsidR="001630D0">
        <w:t>guyanais</w:t>
      </w:r>
      <w:r>
        <w:t> :</w:t>
      </w:r>
    </w:p>
    <w:p w14:paraId="2FA1FE2F" w14:textId="3394D323" w:rsidR="0074787D" w:rsidRDefault="0074787D" w:rsidP="00E45AE5">
      <w:pPr>
        <w:pStyle w:val="Paragraphedeliste"/>
        <w:numPr>
          <w:ilvl w:val="1"/>
          <w:numId w:val="34"/>
        </w:numPr>
        <w:suppressAutoHyphens/>
        <w:spacing w:after="200" w:line="276" w:lineRule="auto"/>
      </w:pPr>
      <w:r>
        <w:lastRenderedPageBreak/>
        <w:t xml:space="preserve">Identification des matières essentielles </w:t>
      </w:r>
      <w:r w:rsidR="001630D0">
        <w:t>importées ;</w:t>
      </w:r>
    </w:p>
    <w:p w14:paraId="74A10DB0" w14:textId="77777777" w:rsidR="0074787D" w:rsidRDefault="0074787D" w:rsidP="00E45AE5">
      <w:pPr>
        <w:pStyle w:val="Paragraphedeliste"/>
        <w:numPr>
          <w:ilvl w:val="1"/>
          <w:numId w:val="34"/>
        </w:numPr>
        <w:suppressAutoHyphens/>
        <w:spacing w:after="200" w:line="276" w:lineRule="auto"/>
      </w:pPr>
      <w:r>
        <w:t>Cartographies des secteurs desservis pour disposer des dites marchandises ;</w:t>
      </w:r>
    </w:p>
    <w:p w14:paraId="6197171D" w14:textId="6A82FC7D" w:rsidR="0074787D" w:rsidRDefault="0074787D" w:rsidP="00E45AE5">
      <w:pPr>
        <w:pStyle w:val="Paragraphedeliste"/>
        <w:numPr>
          <w:ilvl w:val="1"/>
          <w:numId w:val="34"/>
        </w:numPr>
        <w:suppressAutoHyphens/>
        <w:spacing w:after="200" w:line="276" w:lineRule="auto"/>
      </w:pPr>
      <w:r>
        <w:t xml:space="preserve">Cartographie de synthèse </w:t>
      </w:r>
      <w:r w:rsidR="001630D0">
        <w:t>pour les différentes zones du port considérées</w:t>
      </w:r>
      <w:r>
        <w:t> ;</w:t>
      </w:r>
    </w:p>
    <w:p w14:paraId="7C5EAF3D" w14:textId="5036F1F2" w:rsidR="0074787D" w:rsidRDefault="0074787D" w:rsidP="00E45AE5">
      <w:pPr>
        <w:pStyle w:val="Paragraphedeliste"/>
        <w:numPr>
          <w:ilvl w:val="1"/>
          <w:numId w:val="34"/>
        </w:numPr>
        <w:suppressAutoHyphens/>
        <w:spacing w:after="200" w:line="276" w:lineRule="auto"/>
      </w:pPr>
      <w:r>
        <w:t xml:space="preserve">Tout élément participant activement au fonctionnement du territoire </w:t>
      </w:r>
      <w:r w:rsidR="001630D0">
        <w:t>guyanais</w:t>
      </w:r>
      <w:r>
        <w:t> ;</w:t>
      </w:r>
    </w:p>
    <w:p w14:paraId="66ECBD55" w14:textId="77777777" w:rsidR="0074462C" w:rsidRDefault="0074462C" w:rsidP="0074462C">
      <w:pPr>
        <w:pStyle w:val="Paragraphedeliste"/>
        <w:suppressAutoHyphens/>
        <w:spacing w:after="200" w:line="276" w:lineRule="auto"/>
        <w:ind w:left="1440"/>
      </w:pPr>
    </w:p>
    <w:p w14:paraId="5775B317" w14:textId="77777777" w:rsidR="0074787D" w:rsidRDefault="0074787D" w:rsidP="00E45AE5">
      <w:pPr>
        <w:pStyle w:val="Paragraphedeliste"/>
        <w:numPr>
          <w:ilvl w:val="0"/>
          <w:numId w:val="56"/>
        </w:numPr>
        <w:suppressAutoHyphens/>
        <w:spacing w:after="200" w:line="276" w:lineRule="auto"/>
      </w:pPr>
      <w:r>
        <w:t>Les éléments territoriaux fondamentaux permettant le fonctionnement du port :</w:t>
      </w:r>
    </w:p>
    <w:p w14:paraId="596463FA" w14:textId="77777777" w:rsidR="0074787D" w:rsidRDefault="0074787D" w:rsidP="00E45AE5">
      <w:pPr>
        <w:pStyle w:val="Paragraphedeliste"/>
        <w:numPr>
          <w:ilvl w:val="1"/>
          <w:numId w:val="34"/>
        </w:numPr>
        <w:suppressAutoHyphens/>
        <w:spacing w:after="200" w:line="276" w:lineRule="auto"/>
      </w:pPr>
      <w:r>
        <w:t>Identification et localisation des infrastructures et réseaux essentiels au fonctionnement du port ;</w:t>
      </w:r>
    </w:p>
    <w:p w14:paraId="7B5C59DD" w14:textId="3EB9227D" w:rsidR="0074787D" w:rsidRDefault="0074787D" w:rsidP="00E45AE5">
      <w:pPr>
        <w:pStyle w:val="Paragraphedeliste"/>
        <w:numPr>
          <w:ilvl w:val="1"/>
          <w:numId w:val="34"/>
        </w:numPr>
        <w:suppressAutoHyphens/>
        <w:spacing w:after="200" w:line="276" w:lineRule="auto"/>
      </w:pPr>
      <w:r>
        <w:t>Identification et localisation des agents économiques participant activement au fonctionnement du port ;</w:t>
      </w:r>
    </w:p>
    <w:p w14:paraId="1D3AC8FE" w14:textId="63A3A0B7" w:rsidR="00004AEE" w:rsidRDefault="0074787D" w:rsidP="00004AEE">
      <w:pPr>
        <w:pStyle w:val="Paragraphedeliste"/>
        <w:numPr>
          <w:ilvl w:val="1"/>
          <w:numId w:val="34"/>
        </w:numPr>
        <w:suppressAutoHyphens/>
        <w:spacing w:after="200" w:line="276" w:lineRule="auto"/>
      </w:pPr>
      <w:r>
        <w:t>Tout élément participant activement au fonctionnement du port.</w:t>
      </w:r>
    </w:p>
    <w:p w14:paraId="17596E90" w14:textId="77777777" w:rsidR="00004AEE" w:rsidRDefault="00004AEE" w:rsidP="00004AEE">
      <w:pPr>
        <w:pStyle w:val="Paragraphedeliste"/>
        <w:suppressAutoHyphens/>
        <w:spacing w:after="200" w:line="276" w:lineRule="auto"/>
        <w:ind w:left="1440"/>
      </w:pPr>
    </w:p>
    <w:p w14:paraId="41633C11" w14:textId="03271D03" w:rsidR="0074787D" w:rsidRPr="00A1265C" w:rsidRDefault="00004AEE" w:rsidP="00333588">
      <w:pPr>
        <w:pStyle w:val="Paragraphedeliste"/>
        <w:numPr>
          <w:ilvl w:val="0"/>
          <w:numId w:val="56"/>
        </w:numPr>
        <w:suppressAutoHyphens/>
        <w:spacing w:before="120" w:after="120" w:line="276" w:lineRule="auto"/>
        <w:rPr>
          <w:color w:val="292574"/>
          <w:shd w:val="clear" w:color="auto" w:fill="FFFFFF"/>
        </w:rPr>
      </w:pPr>
      <w:r>
        <w:t>Une éventuelle adaptation des acteurs associés dans la gouvernance et une proposition de calendrier et de mobilisation de ces acteurs.</w:t>
      </w:r>
    </w:p>
    <w:p w14:paraId="67F07079" w14:textId="77777777" w:rsidR="008B1F62" w:rsidRDefault="008B1F62" w:rsidP="007A57C9">
      <w:pPr>
        <w:pStyle w:val="Titre2"/>
        <w:rPr>
          <w:shd w:val="clear" w:color="auto" w:fill="FFFFFF"/>
        </w:rPr>
      </w:pPr>
      <w:bookmarkStart w:id="33" w:name="_Toc235518175"/>
      <w:r>
        <w:rPr>
          <w:shd w:val="clear" w:color="auto" w:fill="FFFFFF"/>
        </w:rPr>
        <w:t>Phase 2 – Identification, sélection et collecte des données</w:t>
      </w:r>
      <w:bookmarkEnd w:id="33"/>
    </w:p>
    <w:p w14:paraId="0E17AD5F" w14:textId="3113611C" w:rsidR="008B1F62" w:rsidRDefault="008B1F62" w:rsidP="008B1F62">
      <w:pPr>
        <w:rPr>
          <w:color w:val="292574"/>
          <w:shd w:val="clear" w:color="auto" w:fill="FFFFFF"/>
        </w:rPr>
      </w:pPr>
      <w:r>
        <w:rPr>
          <w:color w:val="292574"/>
          <w:shd w:val="clear" w:color="auto" w:fill="FFFFFF"/>
        </w:rPr>
        <w:t>(Correspond à l’étape 3 de la méthode ASAIT : Identification, sélection et collecte des données et concerne les données patrimoniales, les données relatives aux fonctionnalités du réseau et les données climatiques)</w:t>
      </w:r>
    </w:p>
    <w:p w14:paraId="4F813887" w14:textId="2B626637" w:rsidR="001E66DE" w:rsidRDefault="001E66DE" w:rsidP="008B1F62">
      <w:pPr>
        <w:rPr>
          <w:color w:val="292574"/>
          <w:shd w:val="clear" w:color="auto" w:fill="FFFFFF"/>
        </w:rPr>
      </w:pPr>
    </w:p>
    <w:p w14:paraId="60A2140C" w14:textId="6520ECC7" w:rsidR="001E66DE" w:rsidRDefault="001E66DE" w:rsidP="0074462C">
      <w:pPr>
        <w:ind w:firstLine="708"/>
      </w:pPr>
      <w:r>
        <w:t>Le groupement, en concertation avec le Grand port, devra proposer des données utiles à la réalisation de l’analyse, les collecter</w:t>
      </w:r>
      <w:r w:rsidR="0074462C">
        <w:t xml:space="preserve"> </w:t>
      </w:r>
      <w:r w:rsidR="0074462C" w:rsidRPr="000C1E33">
        <w:t>et</w:t>
      </w:r>
      <w:r>
        <w:t xml:space="preserve"> les structurer de sorte à ce qu’elles soient exploitables facilement dans le cadre de l’étude.</w:t>
      </w:r>
    </w:p>
    <w:p w14:paraId="3B288A13" w14:textId="77777777" w:rsidR="0074462C" w:rsidRDefault="0074462C" w:rsidP="001E66DE"/>
    <w:p w14:paraId="44E809F8" w14:textId="77777777" w:rsidR="001E66DE" w:rsidRDefault="001E66DE" w:rsidP="001E66DE">
      <w:r>
        <w:t>L’origine, la nature et la typologie des données collectées dans cette étape peuvent être très variables, il s’agit notamment :</w:t>
      </w:r>
    </w:p>
    <w:p w14:paraId="14D3415E" w14:textId="49E2E87A" w:rsidR="001E66DE" w:rsidRDefault="001E66DE" w:rsidP="00E45AE5">
      <w:pPr>
        <w:pStyle w:val="Paragraphedeliste"/>
        <w:numPr>
          <w:ilvl w:val="0"/>
          <w:numId w:val="35"/>
        </w:numPr>
        <w:suppressAutoHyphens/>
        <w:spacing w:after="200" w:line="276" w:lineRule="auto"/>
      </w:pPr>
      <w:r>
        <w:t>De la localisation géographique des systèmes ponctuels et/ou des composants, leur situation géographique et leur inscription dans l’environnement naturel (altitude, présence de cours d’eau, berges, mangrove...)</w:t>
      </w:r>
      <w:r>
        <w:rPr>
          <w:rStyle w:val="Appelnotedebasdep"/>
        </w:rPr>
        <w:footnoteReference w:id="9"/>
      </w:r>
      <w:r>
        <w:t xml:space="preserve"> ;</w:t>
      </w:r>
    </w:p>
    <w:p w14:paraId="077F7790" w14:textId="32F2EEAF" w:rsidR="001E66DE" w:rsidRDefault="001E66DE" w:rsidP="00E45AE5">
      <w:pPr>
        <w:pStyle w:val="Paragraphedeliste"/>
        <w:numPr>
          <w:ilvl w:val="0"/>
          <w:numId w:val="35"/>
        </w:numPr>
        <w:suppressAutoHyphens/>
        <w:spacing w:after="200" w:line="276" w:lineRule="auto"/>
      </w:pPr>
      <w:r>
        <w:t>De l’âge des différents systèmes et composants ;</w:t>
      </w:r>
    </w:p>
    <w:p w14:paraId="401A7C92" w14:textId="2DE1C3BB" w:rsidR="001E66DE" w:rsidRDefault="001E66DE" w:rsidP="00E45AE5">
      <w:pPr>
        <w:pStyle w:val="Paragraphedeliste"/>
        <w:numPr>
          <w:ilvl w:val="0"/>
          <w:numId w:val="35"/>
        </w:numPr>
        <w:suppressAutoHyphens/>
        <w:spacing w:after="200" w:line="276" w:lineRule="auto"/>
      </w:pPr>
      <w:r>
        <w:t>Des paramètres de dimensionnement initiaux : durée de vie programmée, hypothèses de dimensionnement, normes et modèles utilisés ;</w:t>
      </w:r>
    </w:p>
    <w:p w14:paraId="5329BBCA" w14:textId="367CA7F6" w:rsidR="001E66DE" w:rsidRDefault="001E66DE" w:rsidP="00E45AE5">
      <w:pPr>
        <w:pStyle w:val="Paragraphedeliste"/>
        <w:numPr>
          <w:ilvl w:val="0"/>
          <w:numId w:val="35"/>
        </w:numPr>
        <w:suppressAutoHyphens/>
        <w:spacing w:after="200" w:line="276" w:lineRule="auto"/>
      </w:pPr>
      <w:r>
        <w:t>Des règles de conception ;</w:t>
      </w:r>
    </w:p>
    <w:p w14:paraId="03160A8E" w14:textId="448407EB" w:rsidR="001E66DE" w:rsidRDefault="001E66DE" w:rsidP="00E45AE5">
      <w:pPr>
        <w:pStyle w:val="Paragraphedeliste"/>
        <w:numPr>
          <w:ilvl w:val="0"/>
          <w:numId w:val="35"/>
        </w:numPr>
        <w:suppressAutoHyphens/>
        <w:spacing w:after="200" w:line="276" w:lineRule="auto"/>
      </w:pPr>
      <w:r>
        <w:t>Des matériaux utilisés : origine, qualité, normes, tests réalisés... ;</w:t>
      </w:r>
    </w:p>
    <w:p w14:paraId="7F9F98B6" w14:textId="1C94ED67" w:rsidR="001E66DE" w:rsidRDefault="001E66DE" w:rsidP="00E45AE5">
      <w:pPr>
        <w:pStyle w:val="Paragraphedeliste"/>
        <w:numPr>
          <w:ilvl w:val="0"/>
          <w:numId w:val="35"/>
        </w:numPr>
        <w:suppressAutoHyphens/>
        <w:spacing w:after="200" w:line="276" w:lineRule="auto"/>
      </w:pPr>
      <w:r>
        <w:t>De la politique d’entretien du réseau et les procédures d’inspection et de maintenance existantes : allant de l’absence complète d’action à une inspection systématique détaillée après chaque évènement ou à intervalles réguliers ;</w:t>
      </w:r>
    </w:p>
    <w:p w14:paraId="28B287FD" w14:textId="5ADB9506" w:rsidR="001E66DE" w:rsidRDefault="001E66DE" w:rsidP="00E45AE5">
      <w:pPr>
        <w:pStyle w:val="Paragraphedeliste"/>
        <w:numPr>
          <w:ilvl w:val="0"/>
          <w:numId w:val="35"/>
        </w:numPr>
        <w:suppressAutoHyphens/>
        <w:spacing w:after="200" w:line="276" w:lineRule="auto"/>
      </w:pPr>
      <w:r>
        <w:t>Des retours d’expérience mis en place ou potentiellement existants ;</w:t>
      </w:r>
    </w:p>
    <w:p w14:paraId="6417C7DB" w14:textId="18262C4B" w:rsidR="001E66DE" w:rsidRDefault="001E66DE" w:rsidP="00E45AE5">
      <w:pPr>
        <w:pStyle w:val="Paragraphedeliste"/>
        <w:numPr>
          <w:ilvl w:val="0"/>
          <w:numId w:val="35"/>
        </w:numPr>
        <w:suppressAutoHyphens/>
        <w:spacing w:after="200" w:line="276" w:lineRule="auto"/>
      </w:pPr>
      <w:r>
        <w:t>Des conditions d’exploitation : trafic ou niveau d’utilisation, agressivité... ;</w:t>
      </w:r>
    </w:p>
    <w:p w14:paraId="7F5AF951" w14:textId="39EA7528" w:rsidR="001E66DE" w:rsidRDefault="001E66DE" w:rsidP="00E45AE5">
      <w:pPr>
        <w:pStyle w:val="Paragraphedeliste"/>
        <w:numPr>
          <w:ilvl w:val="0"/>
          <w:numId w:val="35"/>
        </w:numPr>
        <w:suppressAutoHyphens/>
        <w:spacing w:after="200" w:line="276" w:lineRule="auto"/>
      </w:pPr>
      <w:r>
        <w:t>Des indicateurs d’état et de suivi lorsqu’ils existent.</w:t>
      </w:r>
    </w:p>
    <w:p w14:paraId="729D6069" w14:textId="2DB88153" w:rsidR="00F548A1" w:rsidRDefault="00F548A1" w:rsidP="00E45AE5">
      <w:pPr>
        <w:pStyle w:val="Paragraphedeliste"/>
        <w:numPr>
          <w:ilvl w:val="0"/>
          <w:numId w:val="35"/>
        </w:numPr>
        <w:suppressAutoHyphens/>
        <w:spacing w:after="200" w:line="276" w:lineRule="auto"/>
      </w:pPr>
      <w:r>
        <w:t>Des données issues sur PRACC</w:t>
      </w:r>
    </w:p>
    <w:p w14:paraId="601B93AE" w14:textId="4E54893D" w:rsidR="001E66DE" w:rsidRDefault="006B75A3" w:rsidP="001E66DE">
      <w:r>
        <w:rPr>
          <w:b/>
        </w:rPr>
        <w:tab/>
      </w:r>
      <w:r w:rsidR="001E66DE">
        <w:rPr>
          <w:b/>
        </w:rPr>
        <w:t>Cette étape nécessite également une forte mobilisation du gestionnaire</w:t>
      </w:r>
      <w:r w:rsidR="001E66DE">
        <w:t xml:space="preserve"> dans la mesure où certaines données devront être extraites de ses bases de données, éventuellement être cherchées au cas par cas dans des documents électroniques ou même papier, ou obtenues à dire d’expert via des entretiens conduits par le bureau d’étude ou dans le cadre d’ateliers de travail.</w:t>
      </w:r>
    </w:p>
    <w:p w14:paraId="1B66CA0B" w14:textId="77777777" w:rsidR="0074462C" w:rsidRDefault="0074462C" w:rsidP="001E66DE"/>
    <w:p w14:paraId="1CFD72C6" w14:textId="1C21B750" w:rsidR="001E66DE" w:rsidRDefault="006B75A3" w:rsidP="001E66DE">
      <w:r>
        <w:lastRenderedPageBreak/>
        <w:tab/>
      </w:r>
      <w:r w:rsidR="001E66DE">
        <w:t>Comme dans l’étape 2, il ne s’agit pas de chercher un niveau de détail élevé et homogène pour l’ensemble des systèmes et des composants, mais d’adapter ce niveau de détail aux objectifs et à l’importance de l’élément dans le réseau et dans le cadre de l’étude de résilience. De la même manière, cette étape sera itérative et pourra être reprise en cours d’étude en fonction des analyses produites et des besoins de précisions éventuels qui en découlent.</w:t>
      </w:r>
    </w:p>
    <w:p w14:paraId="2E141A9D" w14:textId="77777777" w:rsidR="0074462C" w:rsidRDefault="0074462C" w:rsidP="001E66DE"/>
    <w:p w14:paraId="44C2D989" w14:textId="1DC3C5BB" w:rsidR="0074462C" w:rsidRDefault="006B75A3" w:rsidP="001E66DE">
      <w:r>
        <w:tab/>
      </w:r>
      <w:r w:rsidR="001E66DE">
        <w:t xml:space="preserve">Cette collecte de données portera tant sur les infrastructures du port que sur les infrastructures du territoire nécessaires au fonctionnement du port. Pour les infrastructures n’appartenant pas au port, il n’est cependant pas attendu une caractérisation détaillée permettant d’identifier des mesures d’adaptation, mais principalement d’identifier les caractéristiques des infrastructures qui peuvent présenter un risque pour la continuité d’activité du port. </w:t>
      </w:r>
    </w:p>
    <w:p w14:paraId="7A8555F2" w14:textId="683F1BE6" w:rsidR="00646B21" w:rsidRDefault="00646B21" w:rsidP="001E66DE"/>
    <w:p w14:paraId="2885943A" w14:textId="51F48829" w:rsidR="0074462C" w:rsidRDefault="00646B21" w:rsidP="001E66DE">
      <w:r>
        <w:tab/>
        <w:t>Une attention particulière sera portée aux données hydrauliques et sédimentaires.</w:t>
      </w:r>
    </w:p>
    <w:p w14:paraId="2D1867DC" w14:textId="77777777" w:rsidR="00646B21" w:rsidRDefault="00646B21" w:rsidP="001E66DE"/>
    <w:p w14:paraId="4228D35F" w14:textId="2EED861C" w:rsidR="001E66DE" w:rsidRDefault="006B75A3" w:rsidP="001E66DE">
      <w:r>
        <w:tab/>
      </w:r>
      <w:r w:rsidR="001E66DE">
        <w:t xml:space="preserve">Cette analyse pourra notamment s’appuyer sur un retour d’expérience permettant d’identifier comment le territoire </w:t>
      </w:r>
      <w:r w:rsidR="007C19A5">
        <w:t>guyanais</w:t>
      </w:r>
      <w:r w:rsidR="001E66DE">
        <w:t>, ou d’autres territoires similaires, ont réagi aux évènements climatiques passés (coupures de route, autres réseaux etc.).</w:t>
      </w:r>
    </w:p>
    <w:p w14:paraId="693EB73D" w14:textId="26087B8C" w:rsidR="009B0D4E" w:rsidRDefault="009B0D4E" w:rsidP="001E66DE"/>
    <w:p w14:paraId="602A9E28" w14:textId="77777777" w:rsidR="009B0D4E" w:rsidRDefault="009B0D4E" w:rsidP="009B0D4E">
      <w:pPr>
        <w:ind w:firstLine="708"/>
      </w:pPr>
      <w:r>
        <w:t xml:space="preserve">A l’issue de cette étape, le gestionnaire doit disposer d’une base de données fiable, vérifiée et adaptée à la réalisation de l’analyse de vulnérabilité. La base de données doit être structurée (référentiel, attributs et métadonnées bien définis notamment) pour être directement utilisable dans la suite de l’étude. Elle doit également pouvoir être facilement modifiable et mise à jour par le gestionnaire afin qu’il puisse faire évoluer les résultats de l’analyse de vulnérabilité si de nouveaux paramètres (climatiques, techniques par exemple) devaient être pris en compte. </w:t>
      </w:r>
    </w:p>
    <w:p w14:paraId="5E023F7E" w14:textId="77777777" w:rsidR="009B0D4E" w:rsidRDefault="009B0D4E" w:rsidP="009B0D4E">
      <w:pPr>
        <w:ind w:firstLine="708"/>
      </w:pPr>
    </w:p>
    <w:p w14:paraId="174AB23F" w14:textId="77777777" w:rsidR="009B0D4E" w:rsidRDefault="009B0D4E" w:rsidP="009B0D4E">
      <w:pPr>
        <w:rPr>
          <w:color w:val="292574"/>
          <w:shd w:val="clear" w:color="auto" w:fill="FFFFFF"/>
        </w:rPr>
      </w:pPr>
      <w:r>
        <w:tab/>
        <w:t>Le groupement établira un document retour d’expérience permettant d’identifier comment le territoire guyanais, ou d’autres territoires similaires, ont réagi aux évènements climatiques passés (coupures de route, autres réseaux etc.).</w:t>
      </w:r>
    </w:p>
    <w:p w14:paraId="2E788247" w14:textId="77777777" w:rsidR="009B0D4E" w:rsidRDefault="009B0D4E" w:rsidP="001E66DE"/>
    <w:p w14:paraId="03564423" w14:textId="77777777" w:rsidR="006B75A3" w:rsidRDefault="006B75A3" w:rsidP="001E66DE"/>
    <w:p w14:paraId="3341BB41" w14:textId="77777777" w:rsidR="001E66DE" w:rsidRDefault="001E66DE" w:rsidP="001E66DE">
      <w:pPr>
        <w:pStyle w:val="NormalNoir"/>
        <w:pBdr>
          <w:top w:val="single" w:sz="4" w:space="1" w:color="000000"/>
          <w:left w:val="single" w:sz="4" w:space="4" w:color="000000"/>
          <w:bottom w:val="single" w:sz="4" w:space="1" w:color="000000"/>
          <w:right w:val="single" w:sz="4" w:space="4" w:color="000000"/>
        </w:pBdr>
        <w:jc w:val="center"/>
        <w:rPr>
          <w:color w:val="auto"/>
        </w:rPr>
      </w:pPr>
      <w:r>
        <w:rPr>
          <w:color w:val="auto"/>
        </w:rPr>
        <w:t>Livrables</w:t>
      </w:r>
    </w:p>
    <w:p w14:paraId="3D62E011" w14:textId="77777777" w:rsidR="008B1F62" w:rsidRDefault="008B1F62" w:rsidP="008B1F62">
      <w:pPr>
        <w:rPr>
          <w:color w:val="292574"/>
          <w:shd w:val="clear" w:color="auto" w:fill="FFFFFF"/>
        </w:rPr>
      </w:pPr>
    </w:p>
    <w:p w14:paraId="4C7B4DE6" w14:textId="77777777" w:rsidR="008B1F62" w:rsidRDefault="008B1F62" w:rsidP="00E45AE5">
      <w:pPr>
        <w:pStyle w:val="Paragraphedeliste"/>
        <w:numPr>
          <w:ilvl w:val="0"/>
          <w:numId w:val="54"/>
        </w:numPr>
        <w:spacing w:before="120" w:after="120"/>
        <w:contextualSpacing w:val="0"/>
        <w:rPr>
          <w:color w:val="292574"/>
          <w:shd w:val="clear" w:color="auto" w:fill="FFFFFF"/>
        </w:rPr>
      </w:pPr>
      <w:r>
        <w:rPr>
          <w:color w:val="292574"/>
          <w:shd w:val="clear" w:color="auto" w:fill="FFFFFF"/>
        </w:rPr>
        <w:t>Inventaire complet et structuré des données climatiques historiques et projetées, ainsi que des données environnementales, patrimoniales et relatives aux fonctionnalités du réseau.</w:t>
      </w:r>
    </w:p>
    <w:p w14:paraId="3168526A" w14:textId="77777777" w:rsidR="008B1F62" w:rsidRDefault="008B1F62" w:rsidP="00E45AE5">
      <w:pPr>
        <w:pStyle w:val="Paragraphedeliste"/>
        <w:numPr>
          <w:ilvl w:val="0"/>
          <w:numId w:val="54"/>
        </w:numPr>
        <w:spacing w:before="120" w:after="120"/>
        <w:contextualSpacing w:val="0"/>
        <w:rPr>
          <w:color w:val="292574"/>
          <w:shd w:val="clear" w:color="auto" w:fill="FFFFFF"/>
        </w:rPr>
      </w:pPr>
      <w:r>
        <w:rPr>
          <w:color w:val="292574"/>
          <w:shd w:val="clear" w:color="auto" w:fill="FFFFFF"/>
        </w:rPr>
        <w:t>Base de données fiable, complète et validée en collaboration avec le gestionnaire et ses partenaires. Cette BDD doit être facilement utilisable pour la suite de l’étude.</w:t>
      </w:r>
    </w:p>
    <w:p w14:paraId="0A2E6887" w14:textId="77777777" w:rsidR="008B1F62" w:rsidRDefault="008B1F62" w:rsidP="00E45AE5">
      <w:pPr>
        <w:pStyle w:val="Paragraphedeliste"/>
        <w:numPr>
          <w:ilvl w:val="0"/>
          <w:numId w:val="54"/>
        </w:numPr>
        <w:spacing w:before="120" w:after="120"/>
        <w:contextualSpacing w:val="0"/>
        <w:rPr>
          <w:color w:val="292574"/>
          <w:shd w:val="clear" w:color="auto" w:fill="FFFFFF"/>
        </w:rPr>
      </w:pPr>
      <w:r>
        <w:rPr>
          <w:color w:val="292574"/>
          <w:shd w:val="clear" w:color="auto" w:fill="FFFFFF"/>
        </w:rPr>
        <w:t>Identification des zones ou fonctionnalités nécessitant une attention particulière lors des phases d’analyse de vulnérabilité.</w:t>
      </w:r>
    </w:p>
    <w:p w14:paraId="0FC68253" w14:textId="77777777" w:rsidR="00F548A1" w:rsidRDefault="008B1F62" w:rsidP="00F548A1">
      <w:pPr>
        <w:pStyle w:val="Paragraphedeliste"/>
        <w:numPr>
          <w:ilvl w:val="0"/>
          <w:numId w:val="54"/>
        </w:numPr>
        <w:spacing w:before="120" w:after="120"/>
        <w:rPr>
          <w:color w:val="292574"/>
          <w:shd w:val="clear" w:color="auto" w:fill="FFFFFF"/>
        </w:rPr>
      </w:pPr>
      <w:r>
        <w:rPr>
          <w:color w:val="292574"/>
          <w:shd w:val="clear" w:color="auto" w:fill="FFFFFF"/>
        </w:rPr>
        <w:t>Cartographies ou schémas illustrant les zones sensibles</w:t>
      </w:r>
      <w:r w:rsidR="00F548A1">
        <w:rPr>
          <w:color w:val="292574"/>
          <w:shd w:val="clear" w:color="auto" w:fill="FFFFFF"/>
        </w:rPr>
        <w:t xml:space="preserve"> </w:t>
      </w:r>
    </w:p>
    <w:p w14:paraId="198CF57B" w14:textId="057D5243" w:rsidR="00F548A1" w:rsidRPr="009F4236" w:rsidRDefault="00C62767" w:rsidP="006C06B3">
      <w:pPr>
        <w:pStyle w:val="Paragraphedeliste"/>
        <w:numPr>
          <w:ilvl w:val="1"/>
          <w:numId w:val="54"/>
        </w:numPr>
        <w:spacing w:before="120" w:after="120"/>
        <w:rPr>
          <w:color w:val="292574"/>
          <w:shd w:val="clear" w:color="auto" w:fill="FFFFFF"/>
        </w:rPr>
      </w:pPr>
      <w:r w:rsidRPr="006C06B3">
        <w:rPr>
          <w:bCs/>
          <w:color w:val="292574"/>
          <w:shd w:val="clear" w:color="auto" w:fill="FFFFFF"/>
        </w:rPr>
        <w:t>Données</w:t>
      </w:r>
      <w:r w:rsidR="00F548A1" w:rsidRPr="006C06B3">
        <w:rPr>
          <w:bCs/>
          <w:color w:val="292574"/>
          <w:shd w:val="clear" w:color="auto" w:fill="FFFFFF"/>
        </w:rPr>
        <w:t xml:space="preserve"> géographiques au format SHP</w:t>
      </w:r>
      <w:r w:rsidR="00F548A1" w:rsidRPr="009F4236">
        <w:rPr>
          <w:color w:val="292574"/>
          <w:shd w:val="clear" w:color="auto" w:fill="FFFFFF"/>
        </w:rPr>
        <w:t>,</w:t>
      </w:r>
    </w:p>
    <w:p w14:paraId="070BC743" w14:textId="55C82A75" w:rsidR="00F548A1" w:rsidRPr="009F4236" w:rsidRDefault="00C62767" w:rsidP="00F548A1">
      <w:pPr>
        <w:pStyle w:val="Paragraphedeliste"/>
        <w:numPr>
          <w:ilvl w:val="1"/>
          <w:numId w:val="54"/>
        </w:numPr>
        <w:spacing w:before="120" w:after="120"/>
        <w:rPr>
          <w:color w:val="292574"/>
          <w:shd w:val="clear" w:color="auto" w:fill="FFFFFF"/>
        </w:rPr>
      </w:pPr>
      <w:r>
        <w:rPr>
          <w:color w:val="292574"/>
          <w:shd w:val="clear" w:color="auto" w:fill="FFFFFF"/>
        </w:rPr>
        <w:t>L</w:t>
      </w:r>
      <w:r w:rsidR="00F548A1" w:rsidRPr="009F4236">
        <w:rPr>
          <w:color w:val="292574"/>
          <w:shd w:val="clear" w:color="auto" w:fill="FFFFFF"/>
        </w:rPr>
        <w:t xml:space="preserve">es </w:t>
      </w:r>
      <w:r w:rsidR="00F548A1" w:rsidRPr="006C06B3">
        <w:rPr>
          <w:bCs/>
          <w:color w:val="292574"/>
          <w:shd w:val="clear" w:color="auto" w:fill="FFFFFF"/>
        </w:rPr>
        <w:t>fichiers de données au format Excel</w:t>
      </w:r>
      <w:r w:rsidR="00F548A1" w:rsidRPr="009F4236">
        <w:rPr>
          <w:color w:val="292574"/>
          <w:shd w:val="clear" w:color="auto" w:fill="FFFFFF"/>
        </w:rPr>
        <w:t>,</w:t>
      </w:r>
    </w:p>
    <w:p w14:paraId="316CC97A" w14:textId="7205312B" w:rsidR="008B1F62" w:rsidRPr="006C06B3" w:rsidRDefault="00C62767" w:rsidP="006C06B3">
      <w:pPr>
        <w:pStyle w:val="Paragraphedeliste"/>
        <w:numPr>
          <w:ilvl w:val="1"/>
          <w:numId w:val="54"/>
        </w:numPr>
        <w:spacing w:before="120" w:after="120"/>
        <w:rPr>
          <w:color w:val="292574"/>
          <w:shd w:val="clear" w:color="auto" w:fill="FFFFFF"/>
        </w:rPr>
      </w:pPr>
      <w:r>
        <w:rPr>
          <w:color w:val="292574"/>
          <w:shd w:val="clear" w:color="auto" w:fill="FFFFFF"/>
        </w:rPr>
        <w:t>A</w:t>
      </w:r>
      <w:r w:rsidR="00F548A1" w:rsidRPr="006C06B3">
        <w:rPr>
          <w:color w:val="292574"/>
          <w:shd w:val="clear" w:color="auto" w:fill="FFFFFF"/>
        </w:rPr>
        <w:t xml:space="preserve">insi que l’intégralité des </w:t>
      </w:r>
      <w:r w:rsidR="00F548A1" w:rsidRPr="006C06B3">
        <w:rPr>
          <w:bCs/>
          <w:color w:val="292574"/>
          <w:shd w:val="clear" w:color="auto" w:fill="FFFFFF"/>
        </w:rPr>
        <w:t>supports photographiques et vidéos</w:t>
      </w:r>
      <w:r w:rsidR="00F548A1" w:rsidRPr="006C06B3">
        <w:rPr>
          <w:color w:val="292574"/>
          <w:shd w:val="clear" w:color="auto" w:fill="FFFFFF"/>
        </w:rPr>
        <w:t xml:space="preserve"> produits dans le cadre</w:t>
      </w:r>
    </w:p>
    <w:p w14:paraId="357A1D45" w14:textId="77777777" w:rsidR="008B1F62" w:rsidRDefault="008B1F62" w:rsidP="008B1F62">
      <w:pPr>
        <w:rPr>
          <w:color w:val="292574"/>
          <w:shd w:val="clear" w:color="auto" w:fill="FFFFFF"/>
        </w:rPr>
      </w:pPr>
    </w:p>
    <w:p w14:paraId="28C1B2A4" w14:textId="54CA6BDD" w:rsidR="008B1F62" w:rsidRDefault="008B1F62" w:rsidP="008B1F62">
      <w:pPr>
        <w:rPr>
          <w:i/>
          <w:iCs/>
          <w:color w:val="292574"/>
          <w:shd w:val="clear" w:color="auto" w:fill="FFFFFF"/>
        </w:rPr>
      </w:pPr>
      <w:r>
        <w:rPr>
          <w:i/>
          <w:iCs/>
          <w:color w:val="292574"/>
          <w:shd w:val="clear" w:color="auto" w:fill="FFFFFF"/>
        </w:rPr>
        <w:t xml:space="preserve">Il peut être décidé que la </w:t>
      </w:r>
      <w:r w:rsidR="00F12512">
        <w:rPr>
          <w:i/>
          <w:iCs/>
          <w:color w:val="292574"/>
          <w:shd w:val="clear" w:color="auto" w:fill="FFFFFF"/>
        </w:rPr>
        <w:t>phase 1 et la</w:t>
      </w:r>
      <w:r>
        <w:rPr>
          <w:i/>
          <w:iCs/>
          <w:color w:val="292574"/>
          <w:shd w:val="clear" w:color="auto" w:fill="FFFFFF"/>
        </w:rPr>
        <w:t xml:space="preserve"> phase 2 fassent l’objet d’un même point d’arrêt/ rendu. </w:t>
      </w:r>
    </w:p>
    <w:p w14:paraId="29EEF780" w14:textId="27ECDB06" w:rsidR="006B75A3" w:rsidRDefault="006B75A3" w:rsidP="008B1F62">
      <w:pPr>
        <w:rPr>
          <w:bCs/>
          <w:i/>
          <w:color w:val="292574"/>
          <w:shd w:val="clear" w:color="auto" w:fill="FFFFFF"/>
        </w:rPr>
      </w:pPr>
      <w:r>
        <w:rPr>
          <w:bCs/>
          <w:i/>
          <w:color w:val="292574"/>
          <w:shd w:val="clear" w:color="auto" w:fill="FFFFFF"/>
        </w:rPr>
        <w:br w:type="page"/>
      </w:r>
    </w:p>
    <w:p w14:paraId="4F99ACA3" w14:textId="77777777" w:rsidR="008B1F62" w:rsidRDefault="008B1F62" w:rsidP="007C19A5">
      <w:pPr>
        <w:pStyle w:val="Titre2"/>
        <w:rPr>
          <w:shd w:val="clear" w:color="auto" w:fill="FFFFFF"/>
        </w:rPr>
      </w:pPr>
      <w:bookmarkStart w:id="34" w:name="_Toc235518176"/>
      <w:r>
        <w:rPr>
          <w:shd w:val="clear" w:color="auto" w:fill="FFFFFF"/>
        </w:rPr>
        <w:lastRenderedPageBreak/>
        <w:t>Phase 3 – Analyse de la vulnérabilité</w:t>
      </w:r>
      <w:bookmarkEnd w:id="34"/>
      <w:r>
        <w:rPr>
          <w:shd w:val="clear" w:color="auto" w:fill="FFFFFF"/>
        </w:rPr>
        <w:t xml:space="preserve"> </w:t>
      </w:r>
    </w:p>
    <w:p w14:paraId="5580B976" w14:textId="77777777" w:rsidR="008B1F62" w:rsidRDefault="008B1F62" w:rsidP="008B1F62">
      <w:pPr>
        <w:rPr>
          <w:color w:val="292574"/>
          <w:shd w:val="clear" w:color="auto" w:fill="FFFFFF"/>
        </w:rPr>
      </w:pPr>
      <w:r>
        <w:rPr>
          <w:color w:val="292574"/>
          <w:shd w:val="clear" w:color="auto" w:fill="FFFFFF"/>
        </w:rPr>
        <w:t>(Regroupe les étapes 4 à 7 : Analyse de l’exposition, Analyse de la sensibilité, Analyse de risque, et Analyse des enjeux du territoire)</w:t>
      </w:r>
    </w:p>
    <w:p w14:paraId="4657D250" w14:textId="4C2A206F" w:rsidR="008B1F62" w:rsidRDefault="008B1F62" w:rsidP="008B1F62">
      <w:pPr>
        <w:rPr>
          <w:color w:val="292574"/>
          <w:shd w:val="clear" w:color="auto" w:fill="FFFFFF"/>
        </w:rPr>
      </w:pPr>
    </w:p>
    <w:p w14:paraId="2CA4E1B5" w14:textId="6C97FC3A" w:rsidR="008113C3" w:rsidRPr="008113C3" w:rsidRDefault="004744C4" w:rsidP="008113C3">
      <w:pPr>
        <w:pStyle w:val="Titre3"/>
      </w:pPr>
      <w:bookmarkStart w:id="35" w:name="_Toc135131473"/>
      <w:bookmarkStart w:id="36" w:name="_Toc134612635"/>
      <w:bookmarkStart w:id="37" w:name="_Toc131759578"/>
      <w:bookmarkStart w:id="38" w:name="_Ref228883645"/>
      <w:bookmarkStart w:id="39" w:name="_Ref228883649"/>
      <w:bookmarkStart w:id="40" w:name="_Toc235518177"/>
      <w:r>
        <w:t>Etape 4 : Analyse d’exposition</w:t>
      </w:r>
      <w:bookmarkEnd w:id="35"/>
      <w:bookmarkEnd w:id="36"/>
      <w:bookmarkEnd w:id="37"/>
      <w:bookmarkEnd w:id="38"/>
      <w:bookmarkEnd w:id="39"/>
      <w:bookmarkEnd w:id="40"/>
    </w:p>
    <w:p w14:paraId="76EFCCB4" w14:textId="12AF8DEB" w:rsidR="004A2BD8" w:rsidRDefault="004A2BD8" w:rsidP="00F10552">
      <w:pPr>
        <w:spacing w:before="120" w:after="160"/>
        <w:ind w:firstLine="708"/>
      </w:pPr>
      <w:r>
        <w:t>L'</w:t>
      </w:r>
      <w:r w:rsidR="00F10552">
        <w:t xml:space="preserve">exposition désigne ici le fait pour un réseau d’infrastructures de transport terrestre d’être localisé sur un territoire où des aléas sont susceptibles de survenir. L’analyse d’exposition consiste à décrire les évolutions projetées des aléas retenus en </w:t>
      </w:r>
      <w:r w:rsidR="00575B69">
        <w:t>phase 1</w:t>
      </w:r>
      <w:r w:rsidR="00F10552">
        <w:t xml:space="preserve"> de manière géolocalisée à l’aide des données collectées en </w:t>
      </w:r>
      <w:r w:rsidR="00575B69">
        <w:t>phase</w:t>
      </w:r>
      <w:r w:rsidR="00F10552">
        <w:t xml:space="preserve"> 2, puis à noter ces évolutions pour pouvoir les croiser ultérieurement avec d’autres notes. </w:t>
      </w:r>
    </w:p>
    <w:p w14:paraId="688D0794" w14:textId="77777777" w:rsidR="004A2BD8" w:rsidRPr="008113C3" w:rsidRDefault="004A2BD8" w:rsidP="004A2BD8">
      <w:pPr>
        <w:pStyle w:val="Titre4"/>
      </w:pPr>
      <w:r>
        <w:t>Sélection et description des indicateurs climatiques dont les projections sont à analyser</w:t>
      </w:r>
    </w:p>
    <w:p w14:paraId="1FE77B6C" w14:textId="77777777" w:rsidR="004B13F5" w:rsidRDefault="004B13F5" w:rsidP="00D00852">
      <w:pPr>
        <w:spacing w:after="160"/>
      </w:pPr>
    </w:p>
    <w:p w14:paraId="58E679B1" w14:textId="4F2D822B" w:rsidR="00D00852" w:rsidRDefault="004B13F5" w:rsidP="00D00852">
      <w:pPr>
        <w:spacing w:after="160"/>
      </w:pPr>
      <w:r>
        <w:tab/>
      </w:r>
      <w:r w:rsidR="00585FA3">
        <w:t>Le prestataire</w:t>
      </w:r>
      <w:r w:rsidR="004A2BD8">
        <w:t xml:space="preserve"> considèrera à la fois les aléas extrêmes et </w:t>
      </w:r>
      <w:r w:rsidR="00585FA3">
        <w:t>tendanciels</w:t>
      </w:r>
      <w:r w:rsidR="004A2BD8">
        <w:t xml:space="preserve"> </w:t>
      </w:r>
      <w:r w:rsidR="00585FA3">
        <w:t>définis dans la phase 1 de définition des périmètres</w:t>
      </w:r>
      <w:r w:rsidR="004A2BD8">
        <w:t xml:space="preserve">. </w:t>
      </w:r>
    </w:p>
    <w:p w14:paraId="4C075428" w14:textId="0E76A2DF" w:rsidR="002B2167" w:rsidRDefault="004B13F5" w:rsidP="00D00852">
      <w:pPr>
        <w:spacing w:after="160"/>
      </w:pPr>
      <w:r>
        <w:tab/>
      </w:r>
      <w:r w:rsidR="004A2BD8">
        <w:t>Pour chaque aléa retenu, le prestataire choisira et justifiera des variables ou indicateurs climatiques adaptés</w:t>
      </w:r>
      <w:r w:rsidR="0007726B">
        <w:t xml:space="preserve"> pour une période dite de référence</w:t>
      </w:r>
      <w:r w:rsidR="004A2BD8">
        <w:t xml:space="preserve">, en précisant le niveau d'incertitude associé et en tenant compte des spécificités climatiques et </w:t>
      </w:r>
      <w:proofErr w:type="spellStart"/>
      <w:r w:rsidR="004A2BD8">
        <w:t>hydro-météorologiques</w:t>
      </w:r>
      <w:proofErr w:type="spellEnd"/>
      <w:r w:rsidR="004A2BD8">
        <w:t xml:space="preserve"> de la zone d'étude. </w:t>
      </w:r>
    </w:p>
    <w:p w14:paraId="59529F34" w14:textId="1984DEB1" w:rsidR="00D00852" w:rsidRDefault="00C3171E" w:rsidP="00D00852">
      <w:pPr>
        <w:spacing w:after="160"/>
      </w:pPr>
      <w:r>
        <w:tab/>
      </w:r>
      <w:r w:rsidR="004A2BD8">
        <w:t xml:space="preserve">Certains indicateurs sont disponibles et devront être analysés à partir du </w:t>
      </w:r>
      <w:r w:rsidR="004A2BD8" w:rsidRPr="00F278AB">
        <w:rPr>
          <w:i/>
          <w:iCs/>
        </w:rPr>
        <w:t>portail DRIAS, les futurs du climat</w:t>
      </w:r>
      <w:r w:rsidR="004A2BD8">
        <w:t xml:space="preserve">. </w:t>
      </w:r>
      <w:r w:rsidR="0007726B">
        <w:t>Lorsque</w:t>
      </w:r>
      <w:r w:rsidR="004A2BD8">
        <w:t xml:space="preserve"> les projections sont absentes ou incomplètes dans DRIAS, le prestataire proposera des méthodes d'analyse détaillées dans son offre et les soumettra à la validation de l'équipe projet. Il pourra </w:t>
      </w:r>
      <w:r w:rsidR="003A53E0">
        <w:t>proposer des tendances quantifiées</w:t>
      </w:r>
      <w:r w:rsidR="004A2BD8">
        <w:t xml:space="preserve"> à partir de données DRIAS et/ou de sources complémentaires : stations Météo-France outre-mer, BRGM, SHOM (niveaux marins), bases GIEC/CMIP6, </w:t>
      </w:r>
      <w:proofErr w:type="spellStart"/>
      <w:r w:rsidR="004A2BD8">
        <w:t>Guyaclimat</w:t>
      </w:r>
      <w:proofErr w:type="spellEnd"/>
      <w:r w:rsidR="004A2BD8">
        <w:t xml:space="preserve">, études hydrologiques locales et littérature scientifique récente. </w:t>
      </w:r>
      <w:r>
        <w:t xml:space="preserve">La liste des variables climatiques tiendra compte des objectifs de l'analyse de risque et des périmètres définis avec le gestionnaire lors des étapes préalables ; elle pourra être amendée à la suite d'échanges avec ses services ou d'entretiens avec des experts, pour tenir compte des sensibilités des actifs étudiés. </w:t>
      </w:r>
      <w:r w:rsidR="004A2BD8">
        <w:t xml:space="preserve">Ces </w:t>
      </w:r>
      <w:r w:rsidR="003A53E0">
        <w:t>tendances quantifiées</w:t>
      </w:r>
      <w:r w:rsidR="004A2BD8">
        <w:t xml:space="preserve"> permettront d'attribuer une note d'évolution climatique à chacun des indicateurs concernés. Si des données plus récentes et faisant l'objet d'un consensus scientifique sont disponibles, elles pourront être utilisées en remplacement, sous validation de l'équipe projet.</w:t>
      </w:r>
    </w:p>
    <w:p w14:paraId="35FC27AF" w14:textId="1DD52859" w:rsidR="004A2BD8" w:rsidRDefault="00D00852" w:rsidP="00D00852">
      <w:pPr>
        <w:spacing w:after="160"/>
      </w:pPr>
      <w:r>
        <w:t>Certains des</w:t>
      </w:r>
      <w:r w:rsidR="004A2BD8">
        <w:t xml:space="preserve"> aléas feront l’objet d’un traitement spécifique. Il s’agit des suivants : </w:t>
      </w:r>
    </w:p>
    <w:p w14:paraId="429237BB" w14:textId="77777777" w:rsidR="00500F1F" w:rsidRDefault="00500F1F" w:rsidP="00E45AE5">
      <w:pPr>
        <w:pStyle w:val="Paragraphedeliste"/>
        <w:numPr>
          <w:ilvl w:val="0"/>
          <w:numId w:val="37"/>
        </w:numPr>
        <w:spacing w:after="160"/>
      </w:pPr>
      <w:r>
        <w:t xml:space="preserve">Elévation du niveau de la mer ; </w:t>
      </w:r>
    </w:p>
    <w:p w14:paraId="7E70C856" w14:textId="1D8049C8" w:rsidR="00500F1F" w:rsidRDefault="00AB7C5C" w:rsidP="00E45AE5">
      <w:pPr>
        <w:pStyle w:val="Paragraphedeliste"/>
        <w:numPr>
          <w:ilvl w:val="0"/>
          <w:numId w:val="37"/>
        </w:numPr>
        <w:spacing w:after="160"/>
      </w:pPr>
      <w:r w:rsidRPr="00AB7C5C">
        <w:t>Courant/ Transport sédimentaire</w:t>
      </w:r>
      <w:r>
        <w:t xml:space="preserve"> / </w:t>
      </w:r>
      <w:r w:rsidR="00500F1F">
        <w:t xml:space="preserve">Évolution hydrodynamique côtière </w:t>
      </w:r>
      <w:r w:rsidR="008A26DF">
        <w:t xml:space="preserve">et </w:t>
      </w:r>
      <w:r w:rsidR="007C3247">
        <w:t>fluviale ;</w:t>
      </w:r>
      <w:r w:rsidR="00500F1F">
        <w:t xml:space="preserve"> </w:t>
      </w:r>
    </w:p>
    <w:p w14:paraId="47C28F6A" w14:textId="2874DD4B" w:rsidR="00500F1F" w:rsidRDefault="00FF236C" w:rsidP="00E45AE5">
      <w:pPr>
        <w:pStyle w:val="Paragraphedeliste"/>
        <w:numPr>
          <w:ilvl w:val="0"/>
          <w:numId w:val="37"/>
        </w:numPr>
        <w:spacing w:after="160"/>
      </w:pPr>
      <w:r>
        <w:t>P</w:t>
      </w:r>
      <w:r w:rsidR="00500F1F">
        <w:t>récipitations (extrêmes</w:t>
      </w:r>
      <w:r>
        <w:t xml:space="preserve"> et tendancielles</w:t>
      </w:r>
      <w:r w:rsidR="00500F1F">
        <w:t xml:space="preserve">) ; </w:t>
      </w:r>
    </w:p>
    <w:p w14:paraId="0E04BF3C" w14:textId="61869F95" w:rsidR="00500F1F" w:rsidRDefault="00500F1F" w:rsidP="00E45AE5">
      <w:pPr>
        <w:pStyle w:val="Paragraphedeliste"/>
        <w:numPr>
          <w:ilvl w:val="0"/>
          <w:numId w:val="37"/>
        </w:numPr>
        <w:spacing w:after="160"/>
      </w:pPr>
      <w:r>
        <w:t xml:space="preserve">Températures élevées et Vagues de chaleur </w:t>
      </w:r>
    </w:p>
    <w:p w14:paraId="59E246B6" w14:textId="77777777" w:rsidR="004A2BD8" w:rsidRDefault="004A2BD8" w:rsidP="004A2BD8">
      <w:pPr>
        <w:spacing w:after="160"/>
      </w:pPr>
      <w:r>
        <w:t xml:space="preserve">Pour chacun des indicateurs à étudier, le prestataire décrira en quelques mots le niveau de fiabilité de la projection de chaque indicateur climatique retenu, afin notamment d’expliquer les principes utilisés pour réaliser la projection, et d’en qualifier le niveau d’incertitude. </w:t>
      </w:r>
    </w:p>
    <w:p w14:paraId="58BFA0C3" w14:textId="77777777" w:rsidR="004A2BD8" w:rsidRDefault="004A2BD8" w:rsidP="004A2BD8">
      <w:pPr>
        <w:pStyle w:val="Titre4"/>
      </w:pPr>
      <w:r>
        <w:t>Analyse des projections climatiques</w:t>
      </w:r>
    </w:p>
    <w:p w14:paraId="25E90CFF" w14:textId="078B8F1E" w:rsidR="00097648" w:rsidRDefault="00A870FD" w:rsidP="00097648">
      <w:pPr>
        <w:spacing w:before="120" w:after="160"/>
      </w:pPr>
      <w:r>
        <w:tab/>
      </w:r>
      <w:r w:rsidR="00097648">
        <w:t>Ce travail repose sur l'utilisation d'un ou plusieurs modèles de projection climatique. Le prestataire s'appuiera en priorité sur les niveaux de réchauffement définis par la T</w:t>
      </w:r>
      <w:r w:rsidR="001A66F1">
        <w:t xml:space="preserve">RACC, </w:t>
      </w:r>
      <w:r w:rsidR="00097648">
        <w:t xml:space="preserve">dont la déclinaison pour la Guyane est la suivante, par rapport à l'ère </w:t>
      </w:r>
      <w:proofErr w:type="spellStart"/>
      <w:r w:rsidR="00097648">
        <w:t>pré-industrielle</w:t>
      </w:r>
      <w:proofErr w:type="spellEnd"/>
      <w:r w:rsidR="00097648">
        <w:t xml:space="preserve"> (1850-1900) :</w:t>
      </w:r>
    </w:p>
    <w:p w14:paraId="55C5C2CB" w14:textId="77777777" w:rsidR="00097648" w:rsidRDefault="00097648" w:rsidP="00E45AE5">
      <w:pPr>
        <w:pStyle w:val="Paragraphedeliste"/>
        <w:numPr>
          <w:ilvl w:val="0"/>
          <w:numId w:val="53"/>
        </w:numPr>
        <w:spacing w:before="120" w:after="160"/>
      </w:pPr>
      <w:r>
        <w:t>+2,3°C à l'horizon 2050</w:t>
      </w:r>
    </w:p>
    <w:p w14:paraId="1ECED791" w14:textId="77777777" w:rsidR="00097648" w:rsidRDefault="00097648" w:rsidP="00E45AE5">
      <w:pPr>
        <w:pStyle w:val="Paragraphedeliste"/>
        <w:numPr>
          <w:ilvl w:val="0"/>
          <w:numId w:val="53"/>
        </w:numPr>
        <w:spacing w:before="120" w:after="160"/>
      </w:pPr>
      <w:r>
        <w:t>+3,5°C à l'horizon 2100</w:t>
      </w:r>
    </w:p>
    <w:p w14:paraId="05EA6A6C" w14:textId="487A8C9F" w:rsidR="00097648" w:rsidRDefault="00097648" w:rsidP="00097648">
      <w:pPr>
        <w:spacing w:before="120" w:after="160"/>
      </w:pPr>
      <w:r>
        <w:tab/>
        <w:t>En complément, les scénarios du GIEC SSP2-4.5 et SSP5-8.5 seront mobilisés. Pour les indicateurs disponibles sur DRIAS, le prestataire utilisera les valeurs médianes des indicateurs annuels reposant sur le jeu spécifique SocleOM-Climat-2025</w:t>
      </w:r>
      <w:r w:rsidR="004857DF">
        <w:rPr>
          <w:rStyle w:val="Appelnotedebasdep"/>
        </w:rPr>
        <w:footnoteReference w:id="10"/>
      </w:r>
      <w:r>
        <w:t xml:space="preserve">, moyennées par niveau de réchauffement, en </w:t>
      </w:r>
      <w:r>
        <w:lastRenderedPageBreak/>
        <w:t>justifiant tout autre choix auprès de l'équipe projet. Les indicateurs seront calculés sur une fenêtre de 20 ans autour de l'année pivot correspondant à chaque niveau de réchauffement TRACC, pour chacun des scénarios retenus.</w:t>
      </w:r>
    </w:p>
    <w:p w14:paraId="0D0156A1" w14:textId="28C7A96D" w:rsidR="00097648" w:rsidRDefault="00097648" w:rsidP="00097648">
      <w:pPr>
        <w:spacing w:before="120" w:after="160"/>
      </w:pPr>
      <w:r>
        <w:tab/>
        <w:t>En complément, pour les indicateurs nécessitant une lecture historique ou une référence calendaire, le prestataire retiendra une période de référence identique pour l'ensemble des variables concernées. Cette période correspondra idéalement à la normale climatologique 1991-2020, période de référence officielle pour la Guyane ; à défaut, une période aussi proche que possible sera proposée pour validation. Les horizons de projection associés couvriront le court terme (2021-2050), le moyen terme (2041-2070) et le long terme (2071-2100). Dans les deux approches, les variables climatiques pouvant prendre des valeurs sensiblement différentes selon les saisons et les mois, la temporalité d'étude de chaque variable sera choisie avec soin, car elle influence directement les résultats de l'analyse d'exposition.</w:t>
      </w:r>
    </w:p>
    <w:p w14:paraId="2E7FA602" w14:textId="2795CC90" w:rsidR="00097648" w:rsidRDefault="006E15D4" w:rsidP="00097648">
      <w:pPr>
        <w:spacing w:before="120" w:after="160"/>
      </w:pPr>
      <w:r>
        <w:tab/>
      </w:r>
      <w:r w:rsidR="00097648">
        <w:t xml:space="preserve">En l'absence de données conformes à la TRACC, le prestataire s'appuiera sur les scénarios SSP2-4.5 et SSP5-8.5, ou sur les projections d'un autre modèle. À noter que l'extraction des données DRIAS nécessite une certaine maîtrise de cette base de données, ainsi que des outils SIG lorsqu'une représentation cartographique est souhaitée. Par ailleurs, bien que DRIAS propose désormais des données spécifiques à la Guyane via le SocleOM-Climat-2025, ces données restent plus limitées en nombre d'indicateurs que pour </w:t>
      </w:r>
      <w:r w:rsidR="00551816">
        <w:t>l’hexagone ;</w:t>
      </w:r>
      <w:r w:rsidR="00097648">
        <w:t xml:space="preserve"> des sources complémentaires devront donc être recherchées et mobilisées si nécessaire (stations Météo-France, BRGM, SHOM, </w:t>
      </w:r>
      <w:proofErr w:type="spellStart"/>
      <w:r w:rsidR="00097648">
        <w:t>Guyaclimat</w:t>
      </w:r>
      <w:proofErr w:type="spellEnd"/>
      <w:r w:rsidR="00097648">
        <w:t>, littérature scientifique récente). Lorsque les projections n'existent pas aux horizons TRACC, le prestataire proposera des horizons proches ou pertinents au regard de la durée de vie des aménagements et ouvrages concernés. Tous ces choix seront soumis à la validation de la maîtrise d'ouvrage.</w:t>
      </w:r>
      <w:r w:rsidR="00097648">
        <w:tab/>
      </w:r>
    </w:p>
    <w:p w14:paraId="2CBECE79" w14:textId="7210656D" w:rsidR="009F51BF" w:rsidRDefault="00097648" w:rsidP="00097648">
      <w:pPr>
        <w:spacing w:before="120" w:after="160"/>
      </w:pPr>
      <w:r>
        <w:tab/>
      </w:r>
      <w:r w:rsidR="009F51BF">
        <w:t>Des seuils climatiques à partir desquels des impacts sur les infrastructures sont observés pourront être identifiés lors de l'analyse de sensibilité ; la maîtrise d'ouvrage pourra alors demander au prestataire d'analyser les projections ajustées sur ces seuils.</w:t>
      </w:r>
    </w:p>
    <w:p w14:paraId="57A7F056" w14:textId="54E10881" w:rsidR="004A2BD8" w:rsidRDefault="00097648" w:rsidP="009F51BF">
      <w:pPr>
        <w:spacing w:before="120" w:after="160"/>
      </w:pPr>
      <w:r>
        <w:tab/>
      </w:r>
      <w:r w:rsidR="009F51BF">
        <w:t>Enfin, le prestataire assurera le choix, l'extraction et la mise en forme des données de projection (calculs statistiques, agrégation, cartographie), afin de préparer l'étape d'analyse de vulnérabilité. Pour les aléas faisant l'objet d'un traitement spécifique, il pourra proposer des approches méthodologiques adaptées, à condition de les détailler, d'en qualifier les paramètres et le niveau d'incertitude, et de les soumettre à validation.</w:t>
      </w:r>
      <w:r w:rsidR="004A2BD8">
        <w:t xml:space="preserve"> </w:t>
      </w:r>
    </w:p>
    <w:p w14:paraId="6BA2986C" w14:textId="77777777" w:rsidR="004A2BD8" w:rsidRDefault="004A2BD8" w:rsidP="004A2BD8">
      <w:pPr>
        <w:pStyle w:val="Titre4"/>
      </w:pPr>
      <w:r>
        <w:t>Notation des évolutions climatiques de chacun des indicateurs climatiques</w:t>
      </w:r>
    </w:p>
    <w:p w14:paraId="7FC04C8F" w14:textId="50045239" w:rsidR="00F76A66" w:rsidRDefault="00640255" w:rsidP="00F76A66">
      <w:pPr>
        <w:spacing w:before="120" w:after="160"/>
      </w:pPr>
      <w:r>
        <w:tab/>
      </w:r>
      <w:r w:rsidR="00F76A66">
        <w:t>Les aléas climatiques sont caractérisés par des indicateurs d’intensité et d’occurrence temporelle et spatiale. A cet effet, le prestataire :</w:t>
      </w:r>
    </w:p>
    <w:p w14:paraId="0A4E6AF5" w14:textId="28FEEABB" w:rsidR="00F76A66" w:rsidRDefault="00F76A66" w:rsidP="00E45AE5">
      <w:pPr>
        <w:pStyle w:val="Paragraphedeliste"/>
        <w:numPr>
          <w:ilvl w:val="0"/>
          <w:numId w:val="46"/>
        </w:numPr>
        <w:spacing w:before="120" w:after="160"/>
      </w:pPr>
      <w:r>
        <w:t>Analysera les évolutions possibles de chacun des indicateurs, puis notera ces évolutions conformément à la méthodologie ASAIT ;</w:t>
      </w:r>
    </w:p>
    <w:p w14:paraId="635A1F96" w14:textId="5CC2EAF6" w:rsidR="00F76A66" w:rsidRDefault="00F76A66" w:rsidP="00E45AE5">
      <w:pPr>
        <w:pStyle w:val="Paragraphedeliste"/>
        <w:numPr>
          <w:ilvl w:val="0"/>
          <w:numId w:val="46"/>
        </w:numPr>
        <w:spacing w:before="120" w:after="160"/>
      </w:pPr>
      <w:r>
        <w:t>Proposera et soumettra à validation de l’équipe-projet une échelle de notation des évolutions climatique pour chaque indicateur, chaque scenario et chaque horizon de projection</w:t>
      </w:r>
      <w:r w:rsidR="001A0C20">
        <w:t xml:space="preserve">, par rapport à </w:t>
      </w:r>
      <w:r>
        <w:t>la période de référence ;</w:t>
      </w:r>
    </w:p>
    <w:p w14:paraId="3BEDFB71" w14:textId="7B1E47C3" w:rsidR="001A0C20" w:rsidRDefault="00F76A66" w:rsidP="00E45AE5">
      <w:pPr>
        <w:pStyle w:val="Paragraphedeliste"/>
        <w:numPr>
          <w:ilvl w:val="0"/>
          <w:numId w:val="46"/>
        </w:numPr>
        <w:spacing w:before="120" w:after="160"/>
      </w:pPr>
      <w:r>
        <w:t>Construira une échelle à 4 niveaux, chacun correspondant à une plage de valeur comprise entre les minimales et les maximales de chaque indicateur</w:t>
      </w:r>
      <w:r w:rsidR="001A0C20" w:rsidRPr="001A0C20">
        <w:t xml:space="preserve">, tous scénarios et horizons confondus, y compris la période de référence. </w:t>
      </w:r>
    </w:p>
    <w:p w14:paraId="38B7610E" w14:textId="77777777" w:rsidR="00FC1CAE" w:rsidRDefault="00FC1CAE" w:rsidP="00FC1CAE">
      <w:pPr>
        <w:spacing w:after="160"/>
      </w:pPr>
      <w:r>
        <w:t>Ces notations seront établies pour tous les horizons et scénarios d'après l'échelle validée par la maîtrise d'ouvrage. En l'absence de données de projection — ce qui pourra être le cas pour certains indicateurs absents du portail DRIAS —, le prestataire proposera une note d'évolution arbitraire, qu'il justifiera.</w:t>
      </w:r>
    </w:p>
    <w:p w14:paraId="6DE0CE46" w14:textId="5F7CC0FB" w:rsidR="00FC1CAE" w:rsidRDefault="00640255" w:rsidP="00FC1CAE">
      <w:pPr>
        <w:spacing w:after="160"/>
      </w:pPr>
      <w:r>
        <w:tab/>
      </w:r>
      <w:r w:rsidR="00FC1CAE">
        <w:t>Le prestataire produira, pour chaque indicateur climatique, scénario et horizon (y compris la période de référence), en valeurs annuelles et saisonnières le cas échéant :</w:t>
      </w:r>
    </w:p>
    <w:p w14:paraId="645632A9" w14:textId="77777777" w:rsidR="00FC1CAE" w:rsidRDefault="00FC1CAE" w:rsidP="00E45AE5">
      <w:pPr>
        <w:pStyle w:val="Paragraphedeliste"/>
        <w:numPr>
          <w:ilvl w:val="0"/>
          <w:numId w:val="57"/>
        </w:numPr>
        <w:spacing w:after="160"/>
      </w:pPr>
      <w:r>
        <w:t>Une représentation cartographique au format PDF ;</w:t>
      </w:r>
    </w:p>
    <w:p w14:paraId="59E27880" w14:textId="0C5E8DC7" w:rsidR="00FC1CAE" w:rsidRDefault="00FC1CAE" w:rsidP="00E45AE5">
      <w:pPr>
        <w:pStyle w:val="Paragraphedeliste"/>
        <w:numPr>
          <w:ilvl w:val="0"/>
          <w:numId w:val="57"/>
        </w:numPr>
        <w:spacing w:after="160"/>
      </w:pPr>
      <w:r>
        <w:t>Les métadonnées et fichiers SIG au format shapefile, accompagnés de la base de données associée</w:t>
      </w:r>
      <w:r w:rsidR="00C97E42">
        <w:t xml:space="preserve"> en format Excel</w:t>
      </w:r>
      <w:r>
        <w:t>.</w:t>
      </w:r>
    </w:p>
    <w:p w14:paraId="5A8EE9CD" w14:textId="4BEDC77F" w:rsidR="00FC1CAE" w:rsidRDefault="00A520CF" w:rsidP="00FC1CAE">
      <w:pPr>
        <w:spacing w:after="160"/>
      </w:pPr>
      <w:r>
        <w:tab/>
      </w:r>
      <w:r>
        <w:tab/>
      </w:r>
      <w:r w:rsidR="00FC1CAE">
        <w:t>Pour les aléas faisant l'objet d'un traitement spécifique, une cartographie dédiée est attendue en lien avec les éléments définis au chapitre :</w:t>
      </w:r>
    </w:p>
    <w:p w14:paraId="45FB470E" w14:textId="2B174841" w:rsidR="00BB4D75" w:rsidRDefault="00BB4D75" w:rsidP="00E45AE5">
      <w:pPr>
        <w:pStyle w:val="Paragraphedeliste"/>
        <w:numPr>
          <w:ilvl w:val="0"/>
          <w:numId w:val="52"/>
        </w:numPr>
      </w:pPr>
      <w:r>
        <w:lastRenderedPageBreak/>
        <w:t>Elévation du niveau de la mer</w:t>
      </w:r>
      <w:r w:rsidR="00806E47">
        <w:t> : inondations par submersion marine, enveloppes potentielles avec niveaux de retour associés et, le cas échéant, hauteurs d’eau pour les zones pertinentes ;</w:t>
      </w:r>
    </w:p>
    <w:p w14:paraId="53E1C5B7" w14:textId="71377715" w:rsidR="00BB4D75" w:rsidRDefault="00BB4D75" w:rsidP="00E45AE5">
      <w:pPr>
        <w:pStyle w:val="Paragraphedeliste"/>
        <w:numPr>
          <w:ilvl w:val="0"/>
          <w:numId w:val="52"/>
        </w:numPr>
      </w:pPr>
      <w:r w:rsidRPr="0003367F">
        <w:rPr>
          <w:rFonts w:cs="Arial"/>
        </w:rPr>
        <w:t>Évolution</w:t>
      </w:r>
      <w:r>
        <w:t xml:space="preserve"> hydrodynamique c</w:t>
      </w:r>
      <w:r w:rsidRPr="0003367F">
        <w:rPr>
          <w:rFonts w:cs="Arial"/>
        </w:rPr>
        <w:t>ô</w:t>
      </w:r>
      <w:r>
        <w:t>ti</w:t>
      </w:r>
      <w:r w:rsidRPr="0003367F">
        <w:rPr>
          <w:rFonts w:cs="Arial"/>
        </w:rPr>
        <w:t>è</w:t>
      </w:r>
      <w:r>
        <w:t>re</w:t>
      </w:r>
      <w:r w:rsidR="00806E47">
        <w:t xml:space="preserve"> : </w:t>
      </w:r>
      <w:r>
        <w:t>courants, transport s</w:t>
      </w:r>
      <w:r w:rsidRPr="0003367F">
        <w:rPr>
          <w:rFonts w:cs="Arial"/>
        </w:rPr>
        <w:t>é</w:t>
      </w:r>
      <w:r>
        <w:t xml:space="preserve">dimentaire, envasement des </w:t>
      </w:r>
      <w:r w:rsidR="00A520CF">
        <w:t>chenaux,</w:t>
      </w:r>
      <w:r w:rsidR="00806E47">
        <w:t xml:space="preserve"> délimitation des zones exposées </w:t>
      </w:r>
      <w:r>
        <w:t xml:space="preserve">— </w:t>
      </w:r>
      <w:r w:rsidR="00806E47">
        <w:t xml:space="preserve">étude </w:t>
      </w:r>
      <w:r>
        <w:t xml:space="preserve">à conduire en partenariat scientifique (CNRS / laboratoires spécialisés) pour les études hydro sédimentaires ; </w:t>
      </w:r>
    </w:p>
    <w:p w14:paraId="176AF153" w14:textId="0CA9E0DD" w:rsidR="00BB4D75" w:rsidRDefault="00BB4D75" w:rsidP="00E45AE5">
      <w:pPr>
        <w:pStyle w:val="Paragraphedeliste"/>
        <w:numPr>
          <w:ilvl w:val="0"/>
          <w:numId w:val="52"/>
        </w:numPr>
      </w:pPr>
      <w:r>
        <w:t>Fortes précipitations (extrêmes)</w:t>
      </w:r>
      <w:r w:rsidR="00806E47">
        <w:t> : enveloppe d’inondation potentielles avec niveaux de retour associés, zone historique d’inondation et évolutions des précipitations ;</w:t>
      </w:r>
      <w:r>
        <w:t xml:space="preserve"> </w:t>
      </w:r>
    </w:p>
    <w:p w14:paraId="7CB8A995" w14:textId="2F0B3C8D" w:rsidR="00BB4D75" w:rsidRDefault="00BB4D75" w:rsidP="00E45AE5">
      <w:pPr>
        <w:pStyle w:val="Paragraphedeliste"/>
        <w:numPr>
          <w:ilvl w:val="0"/>
          <w:numId w:val="52"/>
        </w:numPr>
      </w:pPr>
      <w:r>
        <w:t>Températures élevées / Vagues de chaleur</w:t>
      </w:r>
      <w:r w:rsidR="00806E47">
        <w:t> : délimitation des zones exposées et seuils</w:t>
      </w:r>
    </w:p>
    <w:p w14:paraId="5512F8D7" w14:textId="77777777" w:rsidR="00806E47" w:rsidRDefault="00806E47" w:rsidP="00806E47">
      <w:pPr>
        <w:pStyle w:val="Paragraphedeliste"/>
        <w:spacing w:after="160"/>
      </w:pPr>
    </w:p>
    <w:p w14:paraId="6F8118E7" w14:textId="706E5DD7" w:rsidR="00FC1CAE" w:rsidRDefault="00FC1CAE" w:rsidP="00806E47">
      <w:pPr>
        <w:pStyle w:val="Paragraphedeliste"/>
        <w:spacing w:after="160"/>
        <w:ind w:left="0"/>
      </w:pPr>
      <w:r>
        <w:t>Le prestataire rédigera une synthèse des principales évolutions attendues et qualifiera le niveau d'incertitude associé à chaque aléa.</w:t>
      </w:r>
    </w:p>
    <w:p w14:paraId="65A255F1" w14:textId="77777777" w:rsidR="004A2BD8" w:rsidRDefault="004A2BD8" w:rsidP="004A2BD8">
      <w:pPr>
        <w:pStyle w:val="NormalNoir"/>
        <w:pBdr>
          <w:top w:val="single" w:sz="4" w:space="1" w:color="000000"/>
          <w:left w:val="single" w:sz="4" w:space="4" w:color="000000"/>
          <w:bottom w:val="single" w:sz="4" w:space="1" w:color="000000"/>
          <w:right w:val="single" w:sz="4" w:space="4" w:color="000000"/>
        </w:pBdr>
        <w:jc w:val="center"/>
        <w:rPr>
          <w:color w:val="auto"/>
        </w:rPr>
      </w:pPr>
      <w:r>
        <w:rPr>
          <w:color w:val="auto"/>
        </w:rPr>
        <w:t>Livrables</w:t>
      </w:r>
    </w:p>
    <w:p w14:paraId="00A1AE03" w14:textId="77777777" w:rsidR="00110FFE" w:rsidRDefault="00110FFE" w:rsidP="00110FFE">
      <w:r>
        <w:t>À l'issue de cette étape, le prestataire produira les éléments suivants :</w:t>
      </w:r>
    </w:p>
    <w:p w14:paraId="559D4FC0" w14:textId="77777777" w:rsidR="00110FFE" w:rsidRDefault="00110FFE" w:rsidP="00110FFE"/>
    <w:p w14:paraId="0F096E78" w14:textId="77777777" w:rsidR="00110FFE" w:rsidRDefault="00110FFE" w:rsidP="00E45AE5">
      <w:pPr>
        <w:pStyle w:val="Paragraphedeliste"/>
        <w:numPr>
          <w:ilvl w:val="0"/>
          <w:numId w:val="58"/>
        </w:numPr>
      </w:pPr>
      <w:r>
        <w:t>Un rapport d'analyse de l'exposition aux aléas naturels, événements et évolutions climatiques actuels et projetés, incluant l'ensemble des hypothèses retenues ;</w:t>
      </w:r>
    </w:p>
    <w:p w14:paraId="77DF97E1" w14:textId="77777777" w:rsidR="00110FFE" w:rsidRDefault="00110FFE" w:rsidP="00E45AE5">
      <w:pPr>
        <w:pStyle w:val="Paragraphedeliste"/>
        <w:numPr>
          <w:ilvl w:val="0"/>
          <w:numId w:val="58"/>
        </w:numPr>
      </w:pPr>
      <w:r>
        <w:t>Des cartes d'exposition aux aléas et des cartes de synthèse représentant l'intensité des aléas sur les différents secteurs du port et le territoire environnant ;</w:t>
      </w:r>
    </w:p>
    <w:p w14:paraId="57D28BF9" w14:textId="1B6B0094" w:rsidR="00110FFE" w:rsidRPr="00C97E42" w:rsidRDefault="00110FFE" w:rsidP="00E45AE5">
      <w:pPr>
        <w:pStyle w:val="Paragraphedeliste"/>
        <w:numPr>
          <w:ilvl w:val="0"/>
          <w:numId w:val="58"/>
        </w:numPr>
      </w:pPr>
      <w:r w:rsidRPr="00C97E42">
        <w:t>Des cartes de dépassement de seuils climatiques à partir desquels des impacts sur les infrastructures sont observés ;</w:t>
      </w:r>
    </w:p>
    <w:p w14:paraId="4350A566" w14:textId="0A3FEF80" w:rsidR="00110FFE" w:rsidRDefault="00110FFE" w:rsidP="00E45AE5">
      <w:pPr>
        <w:pStyle w:val="Paragraphedeliste"/>
        <w:numPr>
          <w:ilvl w:val="0"/>
          <w:numId w:val="58"/>
        </w:numPr>
      </w:pPr>
      <w:r>
        <w:t>Des cartographies spécifiques pour les aléas à traitement particulier</w:t>
      </w:r>
      <w:r w:rsidR="001C3AED">
        <w:t xml:space="preserve"> </w:t>
      </w:r>
      <w:r>
        <w:t>;</w:t>
      </w:r>
    </w:p>
    <w:p w14:paraId="07E62103" w14:textId="3AFDCAF4" w:rsidR="00110FFE" w:rsidRDefault="00110FFE" w:rsidP="00E45AE5">
      <w:pPr>
        <w:pStyle w:val="Paragraphedeliste"/>
        <w:numPr>
          <w:ilvl w:val="0"/>
          <w:numId w:val="58"/>
        </w:numPr>
      </w:pPr>
      <w:r>
        <w:t>Des notes d'exposition des infrastructures aux aléas climatiques actuels et aux évolutions projetées, sous format tableu</w:t>
      </w:r>
      <w:r w:rsidR="00BB4DF5">
        <w:t xml:space="preserve">r/ matrice </w:t>
      </w:r>
      <w:r>
        <w:t>;</w:t>
      </w:r>
    </w:p>
    <w:p w14:paraId="228D133C" w14:textId="77777777" w:rsidR="00110FFE" w:rsidRDefault="00110FFE" w:rsidP="00E45AE5">
      <w:pPr>
        <w:pStyle w:val="Paragraphedeliste"/>
        <w:numPr>
          <w:ilvl w:val="0"/>
          <w:numId w:val="58"/>
        </w:numPr>
      </w:pPr>
      <w:r>
        <w:t>Une synthèse des principales évolutions climatiques attendues, avec qualification du niveau d'incertitude par aléa.</w:t>
      </w:r>
    </w:p>
    <w:p w14:paraId="19279F8B" w14:textId="77777777" w:rsidR="00110FFE" w:rsidRDefault="00110FFE" w:rsidP="00110FFE"/>
    <w:p w14:paraId="01BDC945" w14:textId="77777777" w:rsidR="00434533" w:rsidRDefault="00434533" w:rsidP="00434533">
      <w:pPr>
        <w:spacing w:after="160"/>
      </w:pPr>
      <w:r>
        <w:tab/>
      </w:r>
      <w:r w:rsidR="00110FFE">
        <w:t xml:space="preserve">L'ensemble des productions cartographiques sera livré au format PDF, accompagné des métadonnées et fichiers SIG (format shapefile) avec la base de données associée. Le format SIG retenu sera précisé en début de mission et validé par la maîtrise d'ouvrage, afin de garantir la compatibilité avec les logiciels utilisés en interne. </w:t>
      </w:r>
      <w:r>
        <w:t xml:space="preserve">Les seuils identifiés dans le cadre de l'analyse de sensibilité seront pris en compte dans les représentations cartographiques. </w:t>
      </w:r>
    </w:p>
    <w:p w14:paraId="7FF89D6E" w14:textId="3720A133" w:rsidR="00434533" w:rsidRDefault="00434533" w:rsidP="00434533">
      <w:pPr>
        <w:spacing w:after="160"/>
      </w:pPr>
      <w:r>
        <w:tab/>
        <w:t xml:space="preserve">La maîtrise d'ouvrage pourra demander au prestataire de faire apparaître certains éléments spécifiques sur les cartes. </w:t>
      </w:r>
      <w:r w:rsidR="00110FFE">
        <w:t xml:space="preserve">Les infrastructures portuaires figureront sur chacune des cartes produites, et la maîtrise d'ouvrage pourra demander à tout moment de faire apparaître des éléments spécifiques supplémentaires. Le rapport d'analyse devra être accompagné de l'ensemble des hypothèses retenues : modèles, scénarios, </w:t>
      </w:r>
      <w:r w:rsidR="003A53E0">
        <w:t>tendances quantifiées</w:t>
      </w:r>
      <w:r w:rsidR="00110FFE">
        <w:t xml:space="preserve">, périodes de projection, temporalité, variables, niveaux d'incertitude et autres choix techniques. </w:t>
      </w:r>
    </w:p>
    <w:p w14:paraId="34765754" w14:textId="611890F1" w:rsidR="004744C4" w:rsidRDefault="00434533" w:rsidP="00434533">
      <w:pPr>
        <w:spacing w:after="160"/>
      </w:pPr>
      <w:r>
        <w:t>Ainsi, à</w:t>
      </w:r>
      <w:r w:rsidR="00110FFE">
        <w:t xml:space="preserve"> l'issue de ce travail, le gestionnaire devra disposer de jeux de données pertinents pour la connaissance des conditions climatiques actuelles et futures s'appliquant à ses infrastructures, en vue de les exploiter dans les étapes ultérieures d'analyse de vulnérabilité.</w:t>
      </w:r>
    </w:p>
    <w:p w14:paraId="37F7D390" w14:textId="77777777" w:rsidR="00BB4DF5" w:rsidRPr="004744C4" w:rsidRDefault="00BB4DF5" w:rsidP="00110FFE"/>
    <w:p w14:paraId="26005E75" w14:textId="79E34CB5" w:rsidR="004744C4" w:rsidRDefault="004744C4" w:rsidP="004744C4">
      <w:pPr>
        <w:pStyle w:val="Titre3"/>
      </w:pPr>
      <w:bookmarkStart w:id="41" w:name="_Toc135131474"/>
      <w:bookmarkStart w:id="42" w:name="_Toc134612636"/>
      <w:bookmarkStart w:id="43" w:name="_Toc131759579"/>
      <w:bookmarkStart w:id="44" w:name="_Toc235518178"/>
      <w:r>
        <w:t>Etape 5 : Analyse de sensibilité</w:t>
      </w:r>
      <w:bookmarkEnd w:id="41"/>
      <w:bookmarkEnd w:id="42"/>
      <w:bookmarkEnd w:id="43"/>
      <w:bookmarkEnd w:id="44"/>
      <w:r>
        <w:t xml:space="preserve"> </w:t>
      </w:r>
    </w:p>
    <w:p w14:paraId="7B32E8FF" w14:textId="2F133E32" w:rsidR="008309A6" w:rsidRDefault="004744C4" w:rsidP="004744C4">
      <w:r>
        <w:t>L’analyse de sensibilité cherche à identifier pour chaque aléa retenu dans l’analyse, leurs impacts possibles sur tou</w:t>
      </w:r>
      <w:r w:rsidR="00225BE9">
        <w:t>tes les infrastructures et fonctionnalités</w:t>
      </w:r>
      <w:r>
        <w:t xml:space="preserve"> retenu</w:t>
      </w:r>
      <w:r w:rsidR="00225BE9">
        <w:t>e</w:t>
      </w:r>
      <w:r>
        <w:t xml:space="preserve">s. En pratique, on cherche donc à </w:t>
      </w:r>
      <w:r>
        <w:rPr>
          <w:b/>
        </w:rPr>
        <w:t>lister pour chaque actif</w:t>
      </w:r>
      <w:r w:rsidR="00225BE9">
        <w:rPr>
          <w:b/>
        </w:rPr>
        <w:t xml:space="preserve"> (physique ou fonctionnel)</w:t>
      </w:r>
      <w:r>
        <w:rPr>
          <w:b/>
        </w:rPr>
        <w:t>, les aléas qui risquent de l’impacter</w:t>
      </w:r>
      <w:r w:rsidR="00086C66">
        <w:rPr>
          <w:b/>
        </w:rPr>
        <w:t>,</w:t>
      </w:r>
      <w:r>
        <w:rPr>
          <w:b/>
        </w:rPr>
        <w:t xml:space="preserve"> la nature et le mécanisme d’impact</w:t>
      </w:r>
      <w:r>
        <w:t xml:space="preserve">. </w:t>
      </w:r>
      <w:r w:rsidR="006D2B61" w:rsidRPr="006D2B61">
        <w:t>Le prestataire devra constituer cette liste en veillant à trouver le juste équilibre entre la précision de l'étude et le volume de données à traiter.</w:t>
      </w:r>
      <w:r w:rsidR="006D2B61">
        <w:t xml:space="preserve"> </w:t>
      </w:r>
      <w:r w:rsidR="008309A6">
        <w:t>Une fois cette liste validée, tous les composants et infrastructures de la liste devront être étudiés dans cette étude.</w:t>
      </w:r>
    </w:p>
    <w:p w14:paraId="5BAA095B" w14:textId="77777777" w:rsidR="008309A6" w:rsidRDefault="008309A6" w:rsidP="004744C4"/>
    <w:p w14:paraId="5771730D" w14:textId="6C313C7F" w:rsidR="004744C4" w:rsidRDefault="004744C4" w:rsidP="004744C4">
      <w:r>
        <w:t xml:space="preserve">Cette étape permet de </w:t>
      </w:r>
      <w:r>
        <w:rPr>
          <w:b/>
        </w:rPr>
        <w:t>décrire les impacts des aléas identifiés sur les systèmes ponctuels ou les composants</w:t>
      </w:r>
      <w:r>
        <w:t xml:space="preserve"> retenus pour l’analyse de risque. Lorsque cela est possible, il est intéressant de caractériser les seuils d’impacts, c’est-à-dire les niveaux des évènements climatiques à partir desquels on peut observer des perturbations, des dégradations, voire des destructions du composant considéré. Ces valeurs peuvent être quantifiables (hauteur de houle, vitesse du vent…) ou qualitatives lorsqu‘elles </w:t>
      </w:r>
      <w:r>
        <w:lastRenderedPageBreak/>
        <w:t>sont issues d’une expérience ou d’une connaissance du terrain ou par expérience d’évènements climatiques antérieurs. L’ampleur des dégâts possibles (y compris la durée durant laquelle l’actif concerné est resté dégradé/détruit) peut aussi être notée si elle est connue, car elle peut apporter des précisions utiles, notamment dans le cadre de l’analyse de vulnérabilité.</w:t>
      </w:r>
      <w:r w:rsidR="00086C66">
        <w:t xml:space="preserve"> </w:t>
      </w:r>
    </w:p>
    <w:p w14:paraId="1987AFCD" w14:textId="77777777" w:rsidR="008309A6" w:rsidRDefault="008309A6" w:rsidP="004744C4"/>
    <w:p w14:paraId="36579F8D" w14:textId="056FFC8E" w:rsidR="004744C4" w:rsidRDefault="004744C4" w:rsidP="004744C4">
      <w:r>
        <w:t xml:space="preserve">Un travail important est nécessaire pour </w:t>
      </w:r>
      <w:r>
        <w:rPr>
          <w:b/>
        </w:rPr>
        <w:t>collecter l’ensemble des informations nécessaires à la caractérisation de la sensibilité des actifs aux différents aléas retenus</w:t>
      </w:r>
      <w:r>
        <w:t>. Cette analyse s’appuie sur des recherches bibliographiques importantes – générales et relatives au réseau étudié – et sur l’expérience et la connaissance du gestionnaire. Le plus souvent, des entretiens avec les experts et services du gestionnaire permettent de décrire et de caractériser les impacts de chaque aléa sur les différents composants du réseau. Ces entretiens peuvent être utilement complétés par des résultats d’études existantes spécifiques au réseau, telles que des études portant sur un risque particulier : affouillements, mouvements de terrain par exemple. Il conviendra de s’appuyer sur les bases de données du gestionnaire, en particulier les données d’exploitation et de suivi des évènements climatiques et de leurs impacts, si ces données sont disponibles. Dans le cas contraire il sera nécessaire de formuler des hypothèses et d’évaluer leur niveau d’incertitude.</w:t>
      </w:r>
    </w:p>
    <w:p w14:paraId="34388617" w14:textId="77777777" w:rsidR="008309A6" w:rsidRDefault="008309A6" w:rsidP="004744C4"/>
    <w:p w14:paraId="5A90B84A" w14:textId="77777777" w:rsidR="004744C4" w:rsidRDefault="004744C4" w:rsidP="004744C4">
      <w:r>
        <w:t>Cette étape est également l’occasion d’</w:t>
      </w:r>
      <w:r>
        <w:rPr>
          <w:b/>
        </w:rPr>
        <w:t>identifier les facteurs aggravants des impacts</w:t>
      </w:r>
      <w:r>
        <w:t xml:space="preserve"> retenus. Ces facteurs aggravants permettent de différencier très finement le type et niveau de sensibilité des deux composants de la même catégorie face à un même aléa. Ces facteurs aggravants doivent être listés et permettent d’affiner l’analyse de sensibilité et ultérieurement l’analyse de vulnérabilité. Par exemple, dans le cas de chaussées, il peut être intéressant de tenir compte de potentiels facteurs aggravants tels que le trafic, le type de revêtement… qui jouent sur la sensibilité de la chaussée face aux extrêmes chauds notamment.</w:t>
      </w:r>
    </w:p>
    <w:p w14:paraId="7CFAE770" w14:textId="77777777" w:rsidR="004744C4" w:rsidRDefault="004744C4" w:rsidP="004744C4">
      <w:pPr>
        <w:pStyle w:val="NormalNoir"/>
      </w:pPr>
    </w:p>
    <w:p w14:paraId="408DBDDB" w14:textId="77777777" w:rsidR="004744C4" w:rsidRDefault="004744C4" w:rsidP="004744C4">
      <w:pPr>
        <w:pStyle w:val="NormalNoir"/>
        <w:jc w:val="center"/>
      </w:pPr>
      <w:r>
        <w:rPr>
          <w:noProof/>
          <w:lang w:eastAsia="fr-FR"/>
        </w:rPr>
        <w:drawing>
          <wp:inline distT="0" distB="0" distL="0" distR="0" wp14:anchorId="1E0A8700" wp14:editId="14E9C3F3">
            <wp:extent cx="5116195" cy="301752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2"/>
                    <pic:cNvPicPr>
                      <a:picLocks noChangeAspect="1" noChangeArrowheads="1"/>
                    </pic:cNvPicPr>
                  </pic:nvPicPr>
                  <pic:blipFill>
                    <a:blip r:embed="rId15"/>
                    <a:stretch>
                      <a:fillRect/>
                    </a:stretch>
                  </pic:blipFill>
                  <pic:spPr bwMode="auto">
                    <a:xfrm>
                      <a:off x="0" y="0"/>
                      <a:ext cx="5116195" cy="3017520"/>
                    </a:xfrm>
                    <a:prstGeom prst="rect">
                      <a:avLst/>
                    </a:prstGeom>
                  </pic:spPr>
                </pic:pic>
              </a:graphicData>
            </a:graphic>
          </wp:inline>
        </w:drawing>
      </w:r>
    </w:p>
    <w:p w14:paraId="18B9524D" w14:textId="777CE42A" w:rsidR="004744C4" w:rsidRDefault="004744C4" w:rsidP="004744C4">
      <w:pPr>
        <w:pStyle w:val="Lgende"/>
        <w:jc w:val="center"/>
      </w:pPr>
      <w:r>
        <w:t>Exemple de description simplifiée des impacts d’aléas sur une chaussée (surface et structure) réalisée dans le cadre d’une analyse de sensibilité (source : Cerema/Carbone4)</w:t>
      </w:r>
    </w:p>
    <w:p w14:paraId="18FBC21D" w14:textId="54FA8209" w:rsidR="008309A6" w:rsidRDefault="00E50FEE" w:rsidP="008309A6">
      <w:pPr>
        <w:spacing w:before="100" w:beforeAutospacing="1" w:after="100" w:afterAutospacing="1"/>
      </w:pPr>
      <w:r>
        <w:tab/>
      </w:r>
      <w:r w:rsidR="008309A6" w:rsidRPr="001E0FD6">
        <w:t xml:space="preserve">Le prestataire listera </w:t>
      </w:r>
      <w:r w:rsidR="008309A6">
        <w:t xml:space="preserve">ainsi </w:t>
      </w:r>
      <w:r w:rsidR="008309A6" w:rsidRPr="001E0FD6">
        <w:t xml:space="preserve">les impacts possibles de chaque indicateur climatique décrit au chapitre </w:t>
      </w:r>
      <w:r w:rsidR="00086C66">
        <w:fldChar w:fldCharType="begin"/>
      </w:r>
      <w:r w:rsidR="00086C66">
        <w:instrText xml:space="preserve"> REF _Ref228883645 \r \h </w:instrText>
      </w:r>
      <w:r w:rsidR="00086C66">
        <w:fldChar w:fldCharType="separate"/>
      </w:r>
      <w:r w:rsidR="00005975">
        <w:t>3.3.1</w:t>
      </w:r>
      <w:r w:rsidR="00086C66">
        <w:fldChar w:fldCharType="end"/>
      </w:r>
      <w:r w:rsidR="00086C66">
        <w:t xml:space="preserve"> </w:t>
      </w:r>
      <w:r w:rsidR="008309A6" w:rsidRPr="001E0FD6">
        <w:t>sur chaque catégorie d’infrastructures et de composants.</w:t>
      </w:r>
      <w:r w:rsidR="008309A6">
        <w:t xml:space="preserve"> Ceci formera des « scénarios d’impact ».</w:t>
      </w:r>
    </w:p>
    <w:p w14:paraId="4F82BE18" w14:textId="77777777" w:rsidR="00086C66" w:rsidRDefault="00086C66" w:rsidP="008309A6">
      <w:pPr>
        <w:spacing w:before="100" w:beforeAutospacing="1" w:after="100" w:afterAutospacing="1"/>
      </w:pPr>
    </w:p>
    <w:p w14:paraId="0D528E68" w14:textId="77777777" w:rsidR="008309A6" w:rsidRDefault="008309A6" w:rsidP="008309A6">
      <w:pPr>
        <w:spacing w:before="100" w:beforeAutospacing="1" w:after="100" w:afterAutospacing="1"/>
      </w:pPr>
      <w:r>
        <w:t>Ainsi le prestataire précisera systématiquement :</w:t>
      </w:r>
    </w:p>
    <w:p w14:paraId="332DE447" w14:textId="77777777" w:rsidR="008309A6" w:rsidRDefault="008309A6" w:rsidP="00E45AE5">
      <w:pPr>
        <w:pStyle w:val="Paragraphedeliste"/>
        <w:numPr>
          <w:ilvl w:val="0"/>
          <w:numId w:val="28"/>
        </w:numPr>
        <w:spacing w:before="100" w:beforeAutospacing="1" w:after="100" w:afterAutospacing="1"/>
      </w:pPr>
      <w:r>
        <w:t>Le type de dégradation possible :</w:t>
      </w:r>
    </w:p>
    <w:p w14:paraId="1B58485F" w14:textId="77777777" w:rsidR="008309A6" w:rsidRDefault="008309A6" w:rsidP="00E45AE5">
      <w:pPr>
        <w:pStyle w:val="Paragraphedeliste"/>
        <w:numPr>
          <w:ilvl w:val="0"/>
          <w:numId w:val="27"/>
        </w:numPr>
        <w:spacing w:before="100" w:beforeAutospacing="1" w:after="100" w:afterAutospacing="1"/>
      </w:pPr>
      <w:r>
        <w:lastRenderedPageBreak/>
        <w:t>Pas d’impact ;</w:t>
      </w:r>
    </w:p>
    <w:p w14:paraId="24DD257B" w14:textId="77777777" w:rsidR="008309A6" w:rsidRDefault="008309A6" w:rsidP="00E45AE5">
      <w:pPr>
        <w:pStyle w:val="Paragraphedeliste"/>
        <w:numPr>
          <w:ilvl w:val="0"/>
          <w:numId w:val="27"/>
        </w:numPr>
        <w:spacing w:before="100" w:beforeAutospacing="1" w:after="100" w:afterAutospacing="1"/>
      </w:pPr>
      <w:r>
        <w:t>Dégradation ou désordre sans gravité mais entraînant un impact sur la durée de vie et nécessitant une réparation ou un entretien spécifique ;</w:t>
      </w:r>
    </w:p>
    <w:p w14:paraId="52F3964E" w14:textId="77777777" w:rsidR="008309A6" w:rsidRDefault="008309A6" w:rsidP="00E45AE5">
      <w:pPr>
        <w:pStyle w:val="Paragraphedeliste"/>
        <w:numPr>
          <w:ilvl w:val="0"/>
          <w:numId w:val="27"/>
        </w:numPr>
        <w:spacing w:before="100" w:beforeAutospacing="1" w:after="100" w:afterAutospacing="1"/>
      </w:pPr>
      <w:r>
        <w:t>Destruction partielle ou désordre important nécessitant une réparation ou un renforcement ;</w:t>
      </w:r>
    </w:p>
    <w:p w14:paraId="65DA1822" w14:textId="77777777" w:rsidR="008309A6" w:rsidRDefault="008309A6" w:rsidP="00E45AE5">
      <w:pPr>
        <w:pStyle w:val="Paragraphedeliste"/>
        <w:numPr>
          <w:ilvl w:val="0"/>
          <w:numId w:val="27"/>
        </w:numPr>
        <w:spacing w:before="100" w:beforeAutospacing="1" w:after="100" w:afterAutospacing="1"/>
      </w:pPr>
      <w:r>
        <w:t>Destruction partielle ou totale nécessitant un remplacement complet ;</w:t>
      </w:r>
    </w:p>
    <w:p w14:paraId="7ADCBC78" w14:textId="77777777" w:rsidR="008309A6" w:rsidRDefault="008309A6" w:rsidP="00E45AE5">
      <w:pPr>
        <w:pStyle w:val="Paragraphedeliste"/>
        <w:numPr>
          <w:ilvl w:val="0"/>
          <w:numId w:val="28"/>
        </w:numPr>
        <w:spacing w:before="100" w:beforeAutospacing="1" w:after="100" w:afterAutospacing="1"/>
      </w:pPr>
      <w:r>
        <w:t>Le mécanisme de dégradation : pour cela le prestataire indiquera notamment si l’impact est dû directement à un des indicateurs étudiés ou découle d’un autre. Il identifiera également les impacts conjugués ou induits entre catégories d’infrastructures et de composants ;</w:t>
      </w:r>
    </w:p>
    <w:p w14:paraId="01374BEC" w14:textId="77777777" w:rsidR="008309A6" w:rsidRDefault="008309A6" w:rsidP="00E45AE5">
      <w:pPr>
        <w:pStyle w:val="Paragraphedeliste"/>
        <w:numPr>
          <w:ilvl w:val="0"/>
          <w:numId w:val="28"/>
        </w:numPr>
        <w:spacing w:before="100" w:beforeAutospacing="1" w:after="100" w:afterAutospacing="1"/>
      </w:pPr>
      <w:r>
        <w:t>Les seuils de dégradation qui auront pu être identifiés pour les différents composants et évènements climatiques et qui correspond aux valeurs d’aléas à partir desquelles les dégradations se produisent ;</w:t>
      </w:r>
    </w:p>
    <w:p w14:paraId="416847D2" w14:textId="77777777" w:rsidR="008309A6" w:rsidRDefault="008309A6" w:rsidP="00E45AE5">
      <w:pPr>
        <w:pStyle w:val="Paragraphedeliste"/>
        <w:numPr>
          <w:ilvl w:val="0"/>
          <w:numId w:val="28"/>
        </w:numPr>
        <w:spacing w:before="100" w:beforeAutospacing="1" w:after="100" w:afterAutospacing="1"/>
      </w:pPr>
      <w:r>
        <w:t>L’amplitude d’impact la plus probable selon les valeurs seuils identifiées, lorsque cela est possible ;</w:t>
      </w:r>
    </w:p>
    <w:p w14:paraId="5B6F1CFB" w14:textId="4B361E1B" w:rsidR="008309A6" w:rsidRDefault="008309A6" w:rsidP="00E45AE5">
      <w:pPr>
        <w:pStyle w:val="Paragraphedeliste"/>
        <w:numPr>
          <w:ilvl w:val="0"/>
          <w:numId w:val="28"/>
        </w:numPr>
        <w:spacing w:before="100" w:beforeAutospacing="1" w:after="100" w:afterAutospacing="1"/>
      </w:pPr>
      <w:r>
        <w:t xml:space="preserve">Les facteurs aggravants : au sein d’une catégorie de composants donnée, les facteurs aggravants permettent de définir des sensibilités différentes, du fait de </w:t>
      </w:r>
      <w:r w:rsidR="00E42621">
        <w:t>différents facteurs</w:t>
      </w:r>
      <w:r>
        <w:t> :</w:t>
      </w:r>
    </w:p>
    <w:p w14:paraId="50B7B228" w14:textId="68B120EC" w:rsidR="008309A6" w:rsidRDefault="008309A6" w:rsidP="00E45AE5">
      <w:pPr>
        <w:pStyle w:val="Paragraphedeliste"/>
        <w:numPr>
          <w:ilvl w:val="0"/>
          <w:numId w:val="29"/>
        </w:numPr>
        <w:spacing w:before="100" w:beforeAutospacing="1" w:after="100" w:afterAutospacing="1"/>
      </w:pPr>
      <w:r>
        <w:t xml:space="preserve">Interne à la catégorie de composant (matériaux de construction, pathologie </w:t>
      </w:r>
      <w:r w:rsidR="00E42621">
        <w:t>spécifique...</w:t>
      </w:r>
      <w:r>
        <w:t>)</w:t>
      </w:r>
    </w:p>
    <w:p w14:paraId="323A94BB" w14:textId="39E5CBCE" w:rsidR="008309A6" w:rsidRDefault="008309A6" w:rsidP="00E45AE5">
      <w:pPr>
        <w:pStyle w:val="Paragraphedeliste"/>
        <w:numPr>
          <w:ilvl w:val="0"/>
          <w:numId w:val="29"/>
        </w:numPr>
        <w:spacing w:before="100" w:beforeAutospacing="1" w:after="100" w:afterAutospacing="1"/>
      </w:pPr>
      <w:r>
        <w:t xml:space="preserve">Externes à la catégorie de composant : situation géographique particulière, sollicitation plus importante d’un </w:t>
      </w:r>
      <w:r w:rsidR="00E42621">
        <w:t>composant...</w:t>
      </w:r>
      <w:r>
        <w:t> ;</w:t>
      </w:r>
    </w:p>
    <w:p w14:paraId="0C688881" w14:textId="547BE6D1" w:rsidR="008309A6" w:rsidRDefault="008309A6" w:rsidP="00E45AE5">
      <w:pPr>
        <w:pStyle w:val="Paragraphedeliste"/>
        <w:numPr>
          <w:ilvl w:val="0"/>
          <w:numId w:val="30"/>
        </w:numPr>
        <w:spacing w:before="100" w:beforeAutospacing="1" w:after="100" w:afterAutospacing="1"/>
      </w:pPr>
      <w:r>
        <w:t xml:space="preserve">Les impacts que chaque infrastructure / composant </w:t>
      </w:r>
      <w:r w:rsidR="00E42621">
        <w:t>o</w:t>
      </w:r>
      <w:r>
        <w:t>nt déjà subi : des informations relatives aux impacts déjà subi peuvent renseigner sur la sensibilité particulière de certains composants à un aléa donné.</w:t>
      </w:r>
    </w:p>
    <w:p w14:paraId="214963AE" w14:textId="5B4E0EFD" w:rsidR="008309A6" w:rsidRDefault="00E50FEE" w:rsidP="008309A6">
      <w:pPr>
        <w:spacing w:before="100" w:beforeAutospacing="1" w:after="100" w:afterAutospacing="1"/>
      </w:pPr>
      <w:r>
        <w:tab/>
      </w:r>
      <w:r w:rsidR="008309A6">
        <w:t xml:space="preserve">Il est attendu du prestataire qu’il puisse ainsi distinguer et spatialiser les </w:t>
      </w:r>
      <w:r w:rsidR="00E42621">
        <w:t>sensibilités</w:t>
      </w:r>
      <w:r w:rsidR="008309A6">
        <w:t xml:space="preserve"> de différents composants au sein d’une même catégorie.</w:t>
      </w:r>
    </w:p>
    <w:p w14:paraId="1781C123" w14:textId="5CA1E908" w:rsidR="008309A6" w:rsidRDefault="00E50FEE" w:rsidP="008309A6">
      <w:pPr>
        <w:spacing w:before="100" w:beforeAutospacing="1" w:after="100" w:afterAutospacing="1"/>
      </w:pPr>
      <w:r>
        <w:tab/>
      </w:r>
      <w:r w:rsidR="008309A6">
        <w:t>L’ensemble des éléments qui devront figurer dans les livrables relatifs à l’analyse des sensibilités physiques est repris ci-dessous.</w:t>
      </w:r>
    </w:p>
    <w:p w14:paraId="67DB14A9" w14:textId="732406E5" w:rsidR="008309A6" w:rsidRDefault="008309A6" w:rsidP="008309A6">
      <w:pPr>
        <w:pStyle w:val="Lgende"/>
        <w:keepNext/>
        <w:jc w:val="center"/>
      </w:pPr>
      <w:r>
        <w:t xml:space="preserve">Tableau </w:t>
      </w:r>
      <w:fldSimple w:instr=" SEQ Tableau \* ARABIC ">
        <w:r w:rsidR="00005975">
          <w:rPr>
            <w:noProof/>
          </w:rPr>
          <w:t>1</w:t>
        </w:r>
      </w:fldSimple>
      <w:r>
        <w:t xml:space="preserve"> Exemple de tableur formant l'ensemble des scénarios d'impacts sur les composants</w:t>
      </w:r>
      <w:r w:rsidR="002112DC">
        <w:t xml:space="preserve"> ou les fonctionnalités</w:t>
      </w:r>
    </w:p>
    <w:tbl>
      <w:tblPr>
        <w:tblStyle w:val="Grilledutableau"/>
        <w:tblW w:w="0" w:type="auto"/>
        <w:tblLook w:val="04A0" w:firstRow="1" w:lastRow="0" w:firstColumn="1" w:lastColumn="0" w:noHBand="0" w:noVBand="1"/>
      </w:tblPr>
      <w:tblGrid>
        <w:gridCol w:w="1462"/>
        <w:gridCol w:w="1273"/>
        <w:gridCol w:w="1273"/>
        <w:gridCol w:w="1273"/>
        <w:gridCol w:w="1273"/>
        <w:gridCol w:w="1232"/>
        <w:gridCol w:w="1156"/>
        <w:gridCol w:w="1026"/>
      </w:tblGrid>
      <w:tr w:rsidR="008309A6" w14:paraId="07C5D6A4" w14:textId="77777777" w:rsidTr="00333588">
        <w:tc>
          <w:tcPr>
            <w:tcW w:w="1378" w:type="dxa"/>
          </w:tcPr>
          <w:p w14:paraId="5AB47308" w14:textId="77777777" w:rsidR="008309A6" w:rsidRDefault="008309A6" w:rsidP="00333588">
            <w:pPr>
              <w:spacing w:before="100" w:beforeAutospacing="1" w:after="100" w:afterAutospacing="1"/>
              <w:jc w:val="center"/>
            </w:pPr>
          </w:p>
        </w:tc>
        <w:tc>
          <w:tcPr>
            <w:tcW w:w="7505" w:type="dxa"/>
            <w:gridSpan w:val="6"/>
          </w:tcPr>
          <w:p w14:paraId="57ADD95D" w14:textId="77777777" w:rsidR="008309A6" w:rsidRDefault="008309A6" w:rsidP="00333588">
            <w:pPr>
              <w:spacing w:before="100" w:beforeAutospacing="1" w:after="100" w:afterAutospacing="1"/>
              <w:jc w:val="center"/>
            </w:pPr>
            <w:r>
              <w:t>Indicateur climatique 1</w:t>
            </w:r>
          </w:p>
        </w:tc>
        <w:tc>
          <w:tcPr>
            <w:tcW w:w="1085" w:type="dxa"/>
          </w:tcPr>
          <w:p w14:paraId="4378AE5C" w14:textId="77777777" w:rsidR="008309A6" w:rsidRDefault="008309A6" w:rsidP="00333588">
            <w:pPr>
              <w:spacing w:before="100" w:beforeAutospacing="1" w:after="100" w:afterAutospacing="1"/>
              <w:jc w:val="center"/>
            </w:pPr>
            <w:r>
              <w:t>…</w:t>
            </w:r>
          </w:p>
        </w:tc>
      </w:tr>
      <w:tr w:rsidR="008309A6" w14:paraId="3ECD3DC0" w14:textId="77777777" w:rsidTr="00333588">
        <w:tc>
          <w:tcPr>
            <w:tcW w:w="1378" w:type="dxa"/>
          </w:tcPr>
          <w:p w14:paraId="4BC8158A" w14:textId="77777777" w:rsidR="008309A6" w:rsidRDefault="008309A6" w:rsidP="00333588">
            <w:pPr>
              <w:spacing w:before="100" w:beforeAutospacing="1" w:after="100" w:afterAutospacing="1"/>
              <w:jc w:val="center"/>
            </w:pPr>
          </w:p>
        </w:tc>
        <w:tc>
          <w:tcPr>
            <w:tcW w:w="1273" w:type="dxa"/>
          </w:tcPr>
          <w:p w14:paraId="55EF1F4E" w14:textId="77777777" w:rsidR="008309A6" w:rsidRDefault="008309A6" w:rsidP="00333588">
            <w:pPr>
              <w:spacing w:before="100" w:beforeAutospacing="1" w:after="100" w:afterAutospacing="1"/>
              <w:jc w:val="center"/>
            </w:pPr>
            <w:r>
              <w:t>Type de dégradation</w:t>
            </w:r>
          </w:p>
        </w:tc>
        <w:tc>
          <w:tcPr>
            <w:tcW w:w="1273" w:type="dxa"/>
          </w:tcPr>
          <w:p w14:paraId="5190DAD0" w14:textId="77777777" w:rsidR="008309A6" w:rsidRDefault="008309A6" w:rsidP="00333588">
            <w:pPr>
              <w:spacing w:before="100" w:beforeAutospacing="1" w:after="100" w:afterAutospacing="1"/>
              <w:jc w:val="center"/>
            </w:pPr>
            <w:r>
              <w:t>Mécanisme de dégradation</w:t>
            </w:r>
          </w:p>
        </w:tc>
        <w:tc>
          <w:tcPr>
            <w:tcW w:w="1273" w:type="dxa"/>
          </w:tcPr>
          <w:p w14:paraId="3D27317C" w14:textId="77777777" w:rsidR="008309A6" w:rsidRDefault="008309A6" w:rsidP="00333588">
            <w:pPr>
              <w:spacing w:before="100" w:beforeAutospacing="1" w:after="100" w:afterAutospacing="1"/>
              <w:jc w:val="center"/>
            </w:pPr>
            <w:r>
              <w:t>Seuils de dégradation</w:t>
            </w:r>
          </w:p>
        </w:tc>
        <w:tc>
          <w:tcPr>
            <w:tcW w:w="1273" w:type="dxa"/>
          </w:tcPr>
          <w:p w14:paraId="23A2264F" w14:textId="77777777" w:rsidR="008309A6" w:rsidRDefault="008309A6" w:rsidP="00333588">
            <w:pPr>
              <w:spacing w:before="100" w:beforeAutospacing="1" w:after="100" w:afterAutospacing="1"/>
              <w:jc w:val="center"/>
            </w:pPr>
            <w:r>
              <w:t>Amplitude de la dégradation</w:t>
            </w:r>
          </w:p>
        </w:tc>
        <w:tc>
          <w:tcPr>
            <w:tcW w:w="1234" w:type="dxa"/>
          </w:tcPr>
          <w:p w14:paraId="1EA46A63" w14:textId="77777777" w:rsidR="008309A6" w:rsidRDefault="008309A6" w:rsidP="00333588">
            <w:pPr>
              <w:spacing w:before="100" w:beforeAutospacing="1" w:after="100" w:afterAutospacing="1"/>
              <w:jc w:val="center"/>
            </w:pPr>
            <w:r>
              <w:t>Facteurs aggravants</w:t>
            </w:r>
          </w:p>
        </w:tc>
        <w:tc>
          <w:tcPr>
            <w:tcW w:w="1179" w:type="dxa"/>
          </w:tcPr>
          <w:p w14:paraId="24920898" w14:textId="77777777" w:rsidR="008309A6" w:rsidRDefault="008309A6" w:rsidP="00333588">
            <w:pPr>
              <w:spacing w:before="100" w:beforeAutospacing="1" w:after="100" w:afterAutospacing="1"/>
              <w:jc w:val="center"/>
            </w:pPr>
            <w:r>
              <w:t>Impacts déjà subis</w:t>
            </w:r>
          </w:p>
        </w:tc>
        <w:tc>
          <w:tcPr>
            <w:tcW w:w="1085" w:type="dxa"/>
          </w:tcPr>
          <w:p w14:paraId="116084A4" w14:textId="77777777" w:rsidR="008309A6" w:rsidRDefault="008309A6" w:rsidP="00333588">
            <w:pPr>
              <w:spacing w:before="100" w:beforeAutospacing="1" w:after="100" w:afterAutospacing="1"/>
              <w:jc w:val="center"/>
            </w:pPr>
            <w:r>
              <w:t>…</w:t>
            </w:r>
          </w:p>
        </w:tc>
      </w:tr>
      <w:tr w:rsidR="008309A6" w14:paraId="29D85ECE" w14:textId="77777777" w:rsidTr="00333588">
        <w:tc>
          <w:tcPr>
            <w:tcW w:w="1378" w:type="dxa"/>
          </w:tcPr>
          <w:p w14:paraId="62C6D51A" w14:textId="77777777" w:rsidR="008309A6" w:rsidRDefault="008309A6" w:rsidP="00333588">
            <w:pPr>
              <w:spacing w:before="100" w:beforeAutospacing="1" w:after="100" w:afterAutospacing="1"/>
              <w:jc w:val="center"/>
            </w:pPr>
            <w:r>
              <w:t>Composant 1</w:t>
            </w:r>
          </w:p>
        </w:tc>
        <w:tc>
          <w:tcPr>
            <w:tcW w:w="1273" w:type="dxa"/>
          </w:tcPr>
          <w:p w14:paraId="00EA24EF" w14:textId="77777777" w:rsidR="008309A6" w:rsidRDefault="008309A6" w:rsidP="00333588">
            <w:pPr>
              <w:spacing w:before="100" w:beforeAutospacing="1" w:after="100" w:afterAutospacing="1"/>
              <w:jc w:val="center"/>
            </w:pPr>
          </w:p>
        </w:tc>
        <w:tc>
          <w:tcPr>
            <w:tcW w:w="1273" w:type="dxa"/>
          </w:tcPr>
          <w:p w14:paraId="31979A2D" w14:textId="77777777" w:rsidR="008309A6" w:rsidRDefault="008309A6" w:rsidP="00333588">
            <w:pPr>
              <w:spacing w:before="100" w:beforeAutospacing="1" w:after="100" w:afterAutospacing="1"/>
              <w:jc w:val="center"/>
            </w:pPr>
          </w:p>
        </w:tc>
        <w:tc>
          <w:tcPr>
            <w:tcW w:w="1273" w:type="dxa"/>
          </w:tcPr>
          <w:p w14:paraId="2002706A" w14:textId="77777777" w:rsidR="008309A6" w:rsidRDefault="008309A6" w:rsidP="00333588">
            <w:pPr>
              <w:spacing w:before="100" w:beforeAutospacing="1" w:after="100" w:afterAutospacing="1"/>
              <w:jc w:val="center"/>
            </w:pPr>
          </w:p>
        </w:tc>
        <w:tc>
          <w:tcPr>
            <w:tcW w:w="1273" w:type="dxa"/>
          </w:tcPr>
          <w:p w14:paraId="189F5D1A" w14:textId="77777777" w:rsidR="008309A6" w:rsidRDefault="008309A6" w:rsidP="00333588">
            <w:pPr>
              <w:spacing w:before="100" w:beforeAutospacing="1" w:after="100" w:afterAutospacing="1"/>
              <w:jc w:val="center"/>
            </w:pPr>
          </w:p>
        </w:tc>
        <w:tc>
          <w:tcPr>
            <w:tcW w:w="1234" w:type="dxa"/>
          </w:tcPr>
          <w:p w14:paraId="34C36E53" w14:textId="77777777" w:rsidR="008309A6" w:rsidRDefault="008309A6" w:rsidP="00333588">
            <w:pPr>
              <w:spacing w:before="100" w:beforeAutospacing="1" w:after="100" w:afterAutospacing="1"/>
              <w:jc w:val="center"/>
            </w:pPr>
          </w:p>
        </w:tc>
        <w:tc>
          <w:tcPr>
            <w:tcW w:w="1179" w:type="dxa"/>
          </w:tcPr>
          <w:p w14:paraId="486C2701" w14:textId="77777777" w:rsidR="008309A6" w:rsidRDefault="008309A6" w:rsidP="00333588">
            <w:pPr>
              <w:spacing w:before="100" w:beforeAutospacing="1" w:after="100" w:afterAutospacing="1"/>
              <w:jc w:val="center"/>
            </w:pPr>
          </w:p>
        </w:tc>
        <w:tc>
          <w:tcPr>
            <w:tcW w:w="1085" w:type="dxa"/>
          </w:tcPr>
          <w:p w14:paraId="78212013" w14:textId="77777777" w:rsidR="008309A6" w:rsidRDefault="008309A6" w:rsidP="00333588">
            <w:pPr>
              <w:spacing w:before="100" w:beforeAutospacing="1" w:after="100" w:afterAutospacing="1"/>
              <w:jc w:val="center"/>
            </w:pPr>
          </w:p>
        </w:tc>
      </w:tr>
      <w:tr w:rsidR="008309A6" w14:paraId="7BEEA44C" w14:textId="77777777" w:rsidTr="00333588">
        <w:tc>
          <w:tcPr>
            <w:tcW w:w="1378" w:type="dxa"/>
          </w:tcPr>
          <w:p w14:paraId="6CB9DFDF" w14:textId="77777777" w:rsidR="008309A6" w:rsidRDefault="008309A6" w:rsidP="00333588">
            <w:pPr>
              <w:spacing w:before="100" w:beforeAutospacing="1" w:after="100" w:afterAutospacing="1"/>
              <w:jc w:val="center"/>
            </w:pPr>
            <w:r>
              <w:t>Composant 2</w:t>
            </w:r>
          </w:p>
        </w:tc>
        <w:tc>
          <w:tcPr>
            <w:tcW w:w="1273" w:type="dxa"/>
          </w:tcPr>
          <w:p w14:paraId="31CE6274" w14:textId="77777777" w:rsidR="008309A6" w:rsidRDefault="008309A6" w:rsidP="00333588">
            <w:pPr>
              <w:spacing w:before="100" w:beforeAutospacing="1" w:after="100" w:afterAutospacing="1"/>
              <w:jc w:val="center"/>
            </w:pPr>
          </w:p>
        </w:tc>
        <w:tc>
          <w:tcPr>
            <w:tcW w:w="1273" w:type="dxa"/>
          </w:tcPr>
          <w:p w14:paraId="55A3BA1B" w14:textId="77777777" w:rsidR="008309A6" w:rsidRDefault="008309A6" w:rsidP="00333588">
            <w:pPr>
              <w:spacing w:before="100" w:beforeAutospacing="1" w:after="100" w:afterAutospacing="1"/>
              <w:jc w:val="center"/>
            </w:pPr>
          </w:p>
        </w:tc>
        <w:tc>
          <w:tcPr>
            <w:tcW w:w="1273" w:type="dxa"/>
          </w:tcPr>
          <w:p w14:paraId="05277FF8" w14:textId="77777777" w:rsidR="008309A6" w:rsidRDefault="008309A6" w:rsidP="00333588">
            <w:pPr>
              <w:spacing w:before="100" w:beforeAutospacing="1" w:after="100" w:afterAutospacing="1"/>
              <w:jc w:val="center"/>
            </w:pPr>
          </w:p>
        </w:tc>
        <w:tc>
          <w:tcPr>
            <w:tcW w:w="1273" w:type="dxa"/>
          </w:tcPr>
          <w:p w14:paraId="5764FE9F" w14:textId="77777777" w:rsidR="008309A6" w:rsidRDefault="008309A6" w:rsidP="00333588">
            <w:pPr>
              <w:spacing w:before="100" w:beforeAutospacing="1" w:after="100" w:afterAutospacing="1"/>
              <w:jc w:val="center"/>
            </w:pPr>
          </w:p>
        </w:tc>
        <w:tc>
          <w:tcPr>
            <w:tcW w:w="1234" w:type="dxa"/>
          </w:tcPr>
          <w:p w14:paraId="5888F612" w14:textId="77777777" w:rsidR="008309A6" w:rsidRDefault="008309A6" w:rsidP="00333588">
            <w:pPr>
              <w:spacing w:before="100" w:beforeAutospacing="1" w:after="100" w:afterAutospacing="1"/>
              <w:jc w:val="center"/>
            </w:pPr>
          </w:p>
        </w:tc>
        <w:tc>
          <w:tcPr>
            <w:tcW w:w="1179" w:type="dxa"/>
          </w:tcPr>
          <w:p w14:paraId="1955085A" w14:textId="77777777" w:rsidR="008309A6" w:rsidRDefault="008309A6" w:rsidP="00333588">
            <w:pPr>
              <w:spacing w:before="100" w:beforeAutospacing="1" w:after="100" w:afterAutospacing="1"/>
              <w:jc w:val="center"/>
            </w:pPr>
          </w:p>
        </w:tc>
        <w:tc>
          <w:tcPr>
            <w:tcW w:w="1085" w:type="dxa"/>
          </w:tcPr>
          <w:p w14:paraId="6E2E292D" w14:textId="77777777" w:rsidR="008309A6" w:rsidRDefault="008309A6" w:rsidP="00333588">
            <w:pPr>
              <w:spacing w:before="100" w:beforeAutospacing="1" w:after="100" w:afterAutospacing="1"/>
              <w:jc w:val="center"/>
            </w:pPr>
          </w:p>
        </w:tc>
      </w:tr>
      <w:tr w:rsidR="008309A6" w14:paraId="492A1867" w14:textId="77777777" w:rsidTr="00333588">
        <w:tc>
          <w:tcPr>
            <w:tcW w:w="1378" w:type="dxa"/>
          </w:tcPr>
          <w:p w14:paraId="0D21E8AE" w14:textId="77777777" w:rsidR="008309A6" w:rsidRDefault="008309A6" w:rsidP="00333588">
            <w:pPr>
              <w:spacing w:before="100" w:beforeAutospacing="1" w:after="100" w:afterAutospacing="1"/>
            </w:pPr>
            <w:r>
              <w:t>…</w:t>
            </w:r>
          </w:p>
        </w:tc>
        <w:tc>
          <w:tcPr>
            <w:tcW w:w="1273" w:type="dxa"/>
          </w:tcPr>
          <w:p w14:paraId="68E8126E" w14:textId="77777777" w:rsidR="008309A6" w:rsidRDefault="008309A6" w:rsidP="00333588">
            <w:pPr>
              <w:spacing w:before="100" w:beforeAutospacing="1" w:after="100" w:afterAutospacing="1"/>
            </w:pPr>
          </w:p>
        </w:tc>
        <w:tc>
          <w:tcPr>
            <w:tcW w:w="1273" w:type="dxa"/>
          </w:tcPr>
          <w:p w14:paraId="2A180125" w14:textId="77777777" w:rsidR="008309A6" w:rsidRDefault="008309A6" w:rsidP="00333588">
            <w:pPr>
              <w:spacing w:before="100" w:beforeAutospacing="1" w:after="100" w:afterAutospacing="1"/>
            </w:pPr>
          </w:p>
        </w:tc>
        <w:tc>
          <w:tcPr>
            <w:tcW w:w="1273" w:type="dxa"/>
          </w:tcPr>
          <w:p w14:paraId="75F0B397" w14:textId="77777777" w:rsidR="008309A6" w:rsidRDefault="008309A6" w:rsidP="00333588">
            <w:pPr>
              <w:spacing w:before="100" w:beforeAutospacing="1" w:after="100" w:afterAutospacing="1"/>
            </w:pPr>
          </w:p>
        </w:tc>
        <w:tc>
          <w:tcPr>
            <w:tcW w:w="1273" w:type="dxa"/>
          </w:tcPr>
          <w:p w14:paraId="2E26AF2D" w14:textId="77777777" w:rsidR="008309A6" w:rsidRDefault="008309A6" w:rsidP="00333588">
            <w:pPr>
              <w:spacing w:before="100" w:beforeAutospacing="1" w:after="100" w:afterAutospacing="1"/>
            </w:pPr>
          </w:p>
        </w:tc>
        <w:tc>
          <w:tcPr>
            <w:tcW w:w="1234" w:type="dxa"/>
          </w:tcPr>
          <w:p w14:paraId="1D1B2CFD" w14:textId="77777777" w:rsidR="008309A6" w:rsidRDefault="008309A6" w:rsidP="00333588">
            <w:pPr>
              <w:spacing w:before="100" w:beforeAutospacing="1" w:after="100" w:afterAutospacing="1"/>
            </w:pPr>
          </w:p>
        </w:tc>
        <w:tc>
          <w:tcPr>
            <w:tcW w:w="1179" w:type="dxa"/>
          </w:tcPr>
          <w:p w14:paraId="36999F02" w14:textId="77777777" w:rsidR="008309A6" w:rsidRDefault="008309A6" w:rsidP="00333588">
            <w:pPr>
              <w:spacing w:before="100" w:beforeAutospacing="1" w:after="100" w:afterAutospacing="1"/>
            </w:pPr>
          </w:p>
        </w:tc>
        <w:tc>
          <w:tcPr>
            <w:tcW w:w="1085" w:type="dxa"/>
          </w:tcPr>
          <w:p w14:paraId="3E75D2F0" w14:textId="77777777" w:rsidR="008309A6" w:rsidRDefault="008309A6" w:rsidP="00333588">
            <w:pPr>
              <w:spacing w:before="100" w:beforeAutospacing="1" w:after="100" w:afterAutospacing="1"/>
            </w:pPr>
          </w:p>
        </w:tc>
      </w:tr>
      <w:tr w:rsidR="002112DC" w14:paraId="30F8C590" w14:textId="77777777" w:rsidTr="00333588">
        <w:tc>
          <w:tcPr>
            <w:tcW w:w="1378" w:type="dxa"/>
          </w:tcPr>
          <w:p w14:paraId="75D323CA" w14:textId="39330952" w:rsidR="002112DC" w:rsidRPr="002112DC" w:rsidRDefault="002112DC" w:rsidP="00333588">
            <w:pPr>
              <w:spacing w:before="100" w:beforeAutospacing="1" w:after="100" w:afterAutospacing="1"/>
              <w:rPr>
                <w:highlight w:val="yellow"/>
              </w:rPr>
            </w:pPr>
            <w:r w:rsidRPr="00660219">
              <w:t>Fonctionnalité 1</w:t>
            </w:r>
          </w:p>
        </w:tc>
        <w:tc>
          <w:tcPr>
            <w:tcW w:w="1273" w:type="dxa"/>
          </w:tcPr>
          <w:p w14:paraId="401105CD" w14:textId="77777777" w:rsidR="002112DC" w:rsidRPr="002112DC" w:rsidRDefault="002112DC" w:rsidP="00333588">
            <w:pPr>
              <w:spacing w:before="100" w:beforeAutospacing="1" w:after="100" w:afterAutospacing="1"/>
              <w:rPr>
                <w:highlight w:val="yellow"/>
              </w:rPr>
            </w:pPr>
          </w:p>
        </w:tc>
        <w:tc>
          <w:tcPr>
            <w:tcW w:w="1273" w:type="dxa"/>
          </w:tcPr>
          <w:p w14:paraId="68186868" w14:textId="77777777" w:rsidR="002112DC" w:rsidRDefault="002112DC" w:rsidP="00333588">
            <w:pPr>
              <w:spacing w:before="100" w:beforeAutospacing="1" w:after="100" w:afterAutospacing="1"/>
            </w:pPr>
          </w:p>
        </w:tc>
        <w:tc>
          <w:tcPr>
            <w:tcW w:w="1273" w:type="dxa"/>
          </w:tcPr>
          <w:p w14:paraId="0B6A3CF2" w14:textId="77777777" w:rsidR="002112DC" w:rsidRDefault="002112DC" w:rsidP="00333588">
            <w:pPr>
              <w:spacing w:before="100" w:beforeAutospacing="1" w:after="100" w:afterAutospacing="1"/>
            </w:pPr>
          </w:p>
        </w:tc>
        <w:tc>
          <w:tcPr>
            <w:tcW w:w="1273" w:type="dxa"/>
          </w:tcPr>
          <w:p w14:paraId="05B0B741" w14:textId="77777777" w:rsidR="002112DC" w:rsidRDefault="002112DC" w:rsidP="00333588">
            <w:pPr>
              <w:spacing w:before="100" w:beforeAutospacing="1" w:after="100" w:afterAutospacing="1"/>
            </w:pPr>
          </w:p>
        </w:tc>
        <w:tc>
          <w:tcPr>
            <w:tcW w:w="1234" w:type="dxa"/>
          </w:tcPr>
          <w:p w14:paraId="6772F9F3" w14:textId="77777777" w:rsidR="002112DC" w:rsidRDefault="002112DC" w:rsidP="00333588">
            <w:pPr>
              <w:spacing w:before="100" w:beforeAutospacing="1" w:after="100" w:afterAutospacing="1"/>
            </w:pPr>
          </w:p>
        </w:tc>
        <w:tc>
          <w:tcPr>
            <w:tcW w:w="1179" w:type="dxa"/>
          </w:tcPr>
          <w:p w14:paraId="40EBC81A" w14:textId="77777777" w:rsidR="002112DC" w:rsidRDefault="002112DC" w:rsidP="00333588">
            <w:pPr>
              <w:spacing w:before="100" w:beforeAutospacing="1" w:after="100" w:afterAutospacing="1"/>
            </w:pPr>
          </w:p>
        </w:tc>
        <w:tc>
          <w:tcPr>
            <w:tcW w:w="1085" w:type="dxa"/>
          </w:tcPr>
          <w:p w14:paraId="30686BB5" w14:textId="77777777" w:rsidR="002112DC" w:rsidRDefault="002112DC" w:rsidP="00333588">
            <w:pPr>
              <w:spacing w:before="100" w:beforeAutospacing="1" w:after="100" w:afterAutospacing="1"/>
            </w:pPr>
          </w:p>
        </w:tc>
      </w:tr>
    </w:tbl>
    <w:p w14:paraId="6EF711BD" w14:textId="4A75D20A" w:rsidR="008309A6" w:rsidRDefault="00E50FEE" w:rsidP="008309A6">
      <w:pPr>
        <w:spacing w:before="100" w:beforeAutospacing="1" w:after="100" w:afterAutospacing="1"/>
      </w:pPr>
      <w:r>
        <w:tab/>
      </w:r>
      <w:r w:rsidR="008309A6">
        <w:t xml:space="preserve">Les scénarios d’impacts seront </w:t>
      </w:r>
      <w:r w:rsidR="008309A6" w:rsidRPr="00E50FEE">
        <w:t>présentés à l’équipe projet</w:t>
      </w:r>
      <w:r w:rsidR="008309A6">
        <w:t xml:space="preserve"> pour validation. Une grande rigueur dans la description de ces scénarios est attendue de la part du prestataire. Le prestataire devra impérativement réaliser une analyse à un niveau suffisamment fin pour opérer une distinction de sensibilité entre composants d’une même famille et pour pouvoir spatialiser ces différentes sensibilités. Il s’appuiera pour cela notamment sur l’étude des facteurs aggravants. Le candidat devra présenter dans son mémoire technique de réponse au présent marché le principe de structuration des éléments utiles à l’établissement des scénarios d’impact et plus généralement, à la réalisation de l’analyse de sensibilité physique qu’il envisage de mettre en œuvre.</w:t>
      </w:r>
    </w:p>
    <w:p w14:paraId="455B7848" w14:textId="58731FC8" w:rsidR="008309A6" w:rsidRDefault="00FE765B" w:rsidP="008309A6">
      <w:pPr>
        <w:spacing w:before="100" w:beforeAutospacing="1" w:after="100" w:afterAutospacing="1"/>
      </w:pPr>
      <w:r>
        <w:tab/>
      </w:r>
      <w:r w:rsidR="008309A6" w:rsidRPr="00660219">
        <w:t>La réalisation des scénarios d’impact se fera en deux temps. Dans un premier temps, le prestataire réalisera un travail de synthèse pour établir des scénarios d’impacts des aléas sur les composants. Le prestataire complètera ces scénarios d’impact sur la base d’une analyse bibliographique</w:t>
      </w:r>
      <w:r w:rsidR="00E42621" w:rsidRPr="00660219">
        <w:t xml:space="preserve">. </w:t>
      </w:r>
      <w:r w:rsidR="008309A6" w:rsidRPr="00660219">
        <w:t xml:space="preserve">Dans un second temps, le prestataire contextualisera et précisera ces scénarios d’impacts en réalisant des ateliers avec des spécialistes au sein du GPMG. Le nombre d’atelier envisagé </w:t>
      </w:r>
      <w:r w:rsidR="00660219" w:rsidRPr="00660219">
        <w:t>sera précisé par le prestataire</w:t>
      </w:r>
      <w:r w:rsidR="00086C66" w:rsidRPr="00660219">
        <w:t>.</w:t>
      </w:r>
    </w:p>
    <w:p w14:paraId="24730BB6" w14:textId="0981844A" w:rsidR="008309A6" w:rsidRDefault="00FE765B" w:rsidP="008309A6">
      <w:pPr>
        <w:spacing w:before="100" w:beforeAutospacing="1" w:after="100" w:afterAutospacing="1"/>
      </w:pPr>
      <w:r>
        <w:lastRenderedPageBreak/>
        <w:tab/>
      </w:r>
      <w:r w:rsidR="008309A6">
        <w:t>Préalablement aux entretiens/ateliers, une réunion sera organisée avec les spécialistes retenus par la maîtrise d’ouvrage et avec lesquels le prestataire devra s’entretenir. Lors de cette réunion, le prestataire devra présenter le contexte et les objectifs de l’étude, la méthodologie mise en œuvre, les scénarios d’impacts déjà réalisés à faire évoluer et enfin, les objectifs et contenus des entretiens à mener pour réaliser l’analyse de sensibilité. Pour chaque entretien/atelier, le prestataire devra :</w:t>
      </w:r>
    </w:p>
    <w:p w14:paraId="6C9500D5" w14:textId="77777777" w:rsidR="008309A6" w:rsidRDefault="008309A6" w:rsidP="00E45AE5">
      <w:pPr>
        <w:pStyle w:val="Paragraphedeliste"/>
        <w:numPr>
          <w:ilvl w:val="0"/>
          <w:numId w:val="59"/>
        </w:numPr>
        <w:spacing w:before="100" w:beforeAutospacing="1" w:after="100" w:afterAutospacing="1"/>
      </w:pPr>
      <w:r>
        <w:t xml:space="preserve">Envoyer aux participants l’ordre du jour à l’avance ; </w:t>
      </w:r>
    </w:p>
    <w:p w14:paraId="2B4DE2AB" w14:textId="17E12B29" w:rsidR="008309A6" w:rsidRDefault="008309A6" w:rsidP="00E45AE5">
      <w:pPr>
        <w:pStyle w:val="Paragraphedeliste"/>
        <w:numPr>
          <w:ilvl w:val="0"/>
          <w:numId w:val="59"/>
        </w:numPr>
        <w:spacing w:before="100" w:beforeAutospacing="1" w:after="100" w:afterAutospacing="1"/>
      </w:pPr>
      <w:r>
        <w:t xml:space="preserve">Transmettre aux participants tous les documents nécessaires au bon déroulé de l’entretien/atelier, aux formats MS office, </w:t>
      </w:r>
      <w:r w:rsidR="00C97E42">
        <w:t>PDF</w:t>
      </w:r>
      <w:r>
        <w:t xml:space="preserve">, et pour les fichiers SIG, au(x) format(s) convenu(s) selon les modalités décrites au chapitre « </w:t>
      </w:r>
      <w:r w:rsidR="00473AB7">
        <w:t>4.3</w:t>
      </w:r>
      <w:r>
        <w:t xml:space="preserve"> Livrables </w:t>
      </w:r>
      <w:r w:rsidR="003B336E">
        <w:t>attendus »</w:t>
      </w:r>
      <w:r>
        <w:t xml:space="preserve"> ; </w:t>
      </w:r>
    </w:p>
    <w:p w14:paraId="65FD7430" w14:textId="77777777" w:rsidR="008309A6" w:rsidRDefault="008309A6" w:rsidP="00E45AE5">
      <w:pPr>
        <w:pStyle w:val="Paragraphedeliste"/>
        <w:numPr>
          <w:ilvl w:val="0"/>
          <w:numId w:val="59"/>
        </w:numPr>
        <w:spacing w:before="100" w:beforeAutospacing="1" w:after="100" w:afterAutospacing="1"/>
      </w:pPr>
      <w:r>
        <w:t>Prévoir une relecture par les participants des résultats issus de l’entretien/atelier et mis en forme pour l’analyse de sensibilité. A l’issue de cette relecture, le prestataire pourra être amené à modifier ces résultats sur demande de l’équipe projet ;</w:t>
      </w:r>
    </w:p>
    <w:p w14:paraId="475F4CE0" w14:textId="77777777" w:rsidR="008309A6" w:rsidRDefault="008309A6" w:rsidP="00E45AE5">
      <w:pPr>
        <w:pStyle w:val="Paragraphedeliste"/>
        <w:numPr>
          <w:ilvl w:val="0"/>
          <w:numId w:val="59"/>
        </w:numPr>
        <w:spacing w:before="100" w:beforeAutospacing="1" w:after="100" w:afterAutospacing="1"/>
      </w:pPr>
      <w:r>
        <w:t xml:space="preserve">Transmettre à l’équipe projet dans un délai raisonnable les comptes rendus d’entretien/atelier. </w:t>
      </w:r>
    </w:p>
    <w:p w14:paraId="2E14F562" w14:textId="5DCC179D" w:rsidR="008309A6" w:rsidRDefault="007B47BA" w:rsidP="008309A6">
      <w:pPr>
        <w:spacing w:before="100" w:beforeAutospacing="1" w:after="100" w:afterAutospacing="1"/>
      </w:pPr>
      <w:r>
        <w:tab/>
      </w:r>
      <w:r w:rsidR="008309A6">
        <w:t>Ces tâches devront être menées dans des délais raisonnables pour permettre aux participants et à l’équipe projet de prendre connaissance de tous les documents. A l’issue des entretiens/ateliers avec les experts et spécialistes du GPMG, une réunion de restitution des résultats de l’analyse de sensibilité sera organisée avec les spécialistes rencontrés au cours des entretiens et des acteurs désignés par la maîtrise d’ouvrage. Au cours de cette réunion, le prestataire devra présenter le contexte et les objectifs de l’étude, la méthodologie mise en œuvre et les scénarios d’impacts établis grâce à l’ensemble de la démarche. Cette réunion aura lieu en visio-conférence. Le prestataire est tenu d’envoyer sa présentation à l’équipe projet pour validation, préalablement à cette réunion et dans un délai qui permette à l’équipe projet d’en prendre connaissance, soit au moins une semaine à l’avance. L’équipe projet pourra demander au prestataire de modifier ou compléter sa présentation.</w:t>
      </w:r>
    </w:p>
    <w:p w14:paraId="2B9C9C38" w14:textId="79B2C4CA" w:rsidR="00311AB2" w:rsidRDefault="007B47BA" w:rsidP="00311AB2">
      <w:pPr>
        <w:spacing w:before="100" w:beforeAutospacing="1" w:after="100" w:afterAutospacing="1"/>
      </w:pPr>
      <w:r>
        <w:tab/>
      </w:r>
      <w:r w:rsidR="00311AB2">
        <w:t xml:space="preserve">L’analyse de ces scénarios d’impacts et des facteurs aggravants sert de base à la notation des sensibilités physiques. Il est important de préciser que la notation des sensibilités physiques doit intervenir après la réalisation des scénarios d’impacts climatiques. Le prestataire proposera à l’équipe projet une échelle de notation de la sensibilité physique et une échelle de notation des facteurs aggravants. </w:t>
      </w:r>
    </w:p>
    <w:p w14:paraId="3E887014" w14:textId="7B212BF2" w:rsidR="00311AB2" w:rsidRDefault="007B47BA" w:rsidP="00311AB2">
      <w:pPr>
        <w:spacing w:before="100" w:beforeAutospacing="1" w:after="100" w:afterAutospacing="1"/>
      </w:pPr>
      <w:r>
        <w:tab/>
      </w:r>
      <w:r w:rsidR="00311AB2">
        <w:t xml:space="preserve">Le prestataire notera la sensibilité de chaque composant voire, à un niveau de détail plus fin le cas échéant. Il argumentera le choix des échelles de notation et le résultat de la notation, et les présentera à l’équipe projet pour validation. La notation des sensibilités physiques (tenant compte des facteurs aggravants) sera présentée sous forme </w:t>
      </w:r>
      <w:r>
        <w:t>de matrice</w:t>
      </w:r>
      <w:r w:rsidR="00311AB2">
        <w:t xml:space="preserve"> par catégorie de composants, pour </w:t>
      </w:r>
      <w:r w:rsidR="00116073">
        <w:t>les différents indicateurs étudiés</w:t>
      </w:r>
      <w:r w:rsidR="00311AB2">
        <w:t xml:space="preserve">. </w:t>
      </w:r>
    </w:p>
    <w:p w14:paraId="35CE3342" w14:textId="42A5BBEE" w:rsidR="00311AB2" w:rsidRDefault="00311AB2" w:rsidP="00311AB2">
      <w:pPr>
        <w:spacing w:before="100" w:beforeAutospacing="1" w:after="100" w:afterAutospacing="1"/>
      </w:pPr>
      <w:r>
        <w:t xml:space="preserve">Cette représentation </w:t>
      </w:r>
      <w:r w:rsidR="007B47BA">
        <w:t xml:space="preserve">matricielle </w:t>
      </w:r>
      <w:r>
        <w:t xml:space="preserve">permettra de montrer les différences éventuelles de sensibilités au sein d’une même catégorie de composants, ainsi qu’entre les différentes catégories de composants. Le choix des représentation </w:t>
      </w:r>
      <w:r w:rsidR="007B47BA">
        <w:t>matricielles</w:t>
      </w:r>
      <w:r>
        <w:t xml:space="preserve"> seront présentés par le prestataire à la maitrise d’ouvrage pour discussion, la maitrise d’ouvrage validera les choix finaux.</w:t>
      </w:r>
      <w:r w:rsidR="007370D3">
        <w:t xml:space="preserve"> </w:t>
      </w:r>
      <w:r>
        <w:t xml:space="preserve">Le candidat décrira dans son offre </w:t>
      </w:r>
      <w:r w:rsidR="007370D3">
        <w:t xml:space="preserve">le format de matrice </w:t>
      </w:r>
      <w:r>
        <w:t>qu’il envisage d’utiliser.</w:t>
      </w:r>
    </w:p>
    <w:p w14:paraId="63A35267" w14:textId="77777777" w:rsidR="00086C66" w:rsidRDefault="00086C66" w:rsidP="00086C66">
      <w:pPr>
        <w:spacing w:before="100" w:beforeAutospacing="1" w:after="100" w:afterAutospacing="1"/>
      </w:pPr>
      <w:r>
        <w:t>Le prestataire réalisera une analyse détaillée de sensibilité en intégrant les dimensions suivantes :</w:t>
      </w:r>
    </w:p>
    <w:p w14:paraId="0B9D368D" w14:textId="688D7C54" w:rsidR="00086C66" w:rsidRDefault="00086C66" w:rsidP="00E45AE5">
      <w:pPr>
        <w:pStyle w:val="Paragraphedeliste"/>
        <w:numPr>
          <w:ilvl w:val="0"/>
          <w:numId w:val="48"/>
        </w:numPr>
        <w:spacing w:before="100" w:beforeAutospacing="1" w:after="100" w:afterAutospacing="1"/>
      </w:pPr>
      <w:r>
        <w:t>Sensibilité physique : capacité des ouvrages (quais, terre-pleins, bâtiments, réseaux, etc.) à résister aux aléas (submersion, salinisation, élévation de température, pluies extrêmes, houle, etc.) ;</w:t>
      </w:r>
    </w:p>
    <w:p w14:paraId="29427FBD" w14:textId="4D913314" w:rsidR="00086C66" w:rsidRDefault="00086C66" w:rsidP="00E45AE5">
      <w:pPr>
        <w:pStyle w:val="Paragraphedeliste"/>
        <w:numPr>
          <w:ilvl w:val="0"/>
          <w:numId w:val="48"/>
        </w:numPr>
        <w:spacing w:before="100" w:beforeAutospacing="1" w:after="100" w:afterAutospacing="1"/>
      </w:pPr>
      <w:r>
        <w:t>Sensibilité fonctionnelle : impact sur les services rendus (accessibilité nautique et routière, manutention, stockage, continuité des opérations, sécurité des usagers, etc.) ;</w:t>
      </w:r>
    </w:p>
    <w:p w14:paraId="772B3832" w14:textId="711558F4" w:rsidR="00086C66" w:rsidRDefault="00086C66" w:rsidP="00E45AE5">
      <w:pPr>
        <w:pStyle w:val="Paragraphedeliste"/>
        <w:numPr>
          <w:ilvl w:val="0"/>
          <w:numId w:val="48"/>
        </w:numPr>
        <w:spacing w:before="100" w:beforeAutospacing="1" w:after="100" w:afterAutospacing="1"/>
      </w:pPr>
      <w:r>
        <w:t>Identification des seuils critiques : valeurs à partir desquelles apparaissent des dégradations significatives (ex. : température &gt; 35°C, hauteur d’eau, durée d’inondation, etc.) ;</w:t>
      </w:r>
    </w:p>
    <w:p w14:paraId="5017BB64" w14:textId="06D92B3A" w:rsidR="00086C66" w:rsidRDefault="00086C66" w:rsidP="00E45AE5">
      <w:pPr>
        <w:pStyle w:val="Paragraphedeliste"/>
        <w:numPr>
          <w:ilvl w:val="0"/>
          <w:numId w:val="48"/>
        </w:numPr>
        <w:spacing w:before="100" w:beforeAutospacing="1" w:after="100" w:afterAutospacing="1"/>
      </w:pPr>
      <w:r>
        <w:t>Facteurs aggravants : interdépendances (port / territoire / CSG), état actuel des ouvrages, maintenance, vieillissement, etc. ;</w:t>
      </w:r>
    </w:p>
    <w:p w14:paraId="2F9212F9" w14:textId="47E22582" w:rsidR="00086C66" w:rsidRDefault="00086C66" w:rsidP="00E45AE5">
      <w:pPr>
        <w:pStyle w:val="Paragraphedeliste"/>
        <w:numPr>
          <w:ilvl w:val="0"/>
          <w:numId w:val="48"/>
        </w:numPr>
        <w:spacing w:before="100" w:beforeAutospacing="1" w:after="100" w:afterAutospacing="1"/>
      </w:pPr>
      <w:r>
        <w:t>Effets en chaîne : conséquences d’une défaillance sur d’autres composants ou sur le fonctionnement global du port.</w:t>
      </w:r>
    </w:p>
    <w:p w14:paraId="1EC9FCA8" w14:textId="77777777" w:rsidR="00A31FBA" w:rsidRDefault="00A31FBA" w:rsidP="00A31FBA">
      <w:pPr>
        <w:spacing w:before="100" w:beforeAutospacing="1" w:after="100" w:afterAutospacing="1"/>
      </w:pPr>
      <w:r>
        <w:lastRenderedPageBreak/>
        <w:t>Modalités particulières</w:t>
      </w:r>
    </w:p>
    <w:p w14:paraId="45EE8DB3" w14:textId="34CFB3F7" w:rsidR="00A31FBA" w:rsidRDefault="00A31FBA" w:rsidP="00E45AE5">
      <w:pPr>
        <w:pStyle w:val="Paragraphedeliste"/>
        <w:numPr>
          <w:ilvl w:val="0"/>
          <w:numId w:val="49"/>
        </w:numPr>
        <w:spacing w:before="100" w:beforeAutospacing="1" w:after="100" w:afterAutospacing="1"/>
      </w:pPr>
      <w:r>
        <w:t>Maximum 2 ateliers thématiques (visioconférence ou présentiel) seront organisés avec les services techniques du GPMG et les opérateurs concernés pour recueillir les retours d’expérience terrain et valider les seuils de sensibilité.</w:t>
      </w:r>
    </w:p>
    <w:p w14:paraId="49C5CB9C" w14:textId="3E17A8E9" w:rsidR="00A31FBA" w:rsidRDefault="00A31FBA" w:rsidP="00E45AE5">
      <w:pPr>
        <w:pStyle w:val="Paragraphedeliste"/>
        <w:numPr>
          <w:ilvl w:val="0"/>
          <w:numId w:val="49"/>
        </w:numPr>
        <w:spacing w:before="100" w:beforeAutospacing="1" w:after="100" w:afterAutospacing="1"/>
      </w:pPr>
      <w:r>
        <w:t>Une attention particulière sera portée aux éléments critiques pour la continuité des services : accès nautique/routier (rupture maximale 7 jours), PCA, alimentation électrique, systèmes d’information et interfaces avec le CSG.</w:t>
      </w:r>
    </w:p>
    <w:p w14:paraId="0D4A07DC" w14:textId="77777777" w:rsidR="008309A6" w:rsidRPr="008309A6" w:rsidRDefault="008309A6" w:rsidP="008309A6"/>
    <w:p w14:paraId="033B892F" w14:textId="12C97B89" w:rsidR="004744C4" w:rsidRPr="00A31FBA" w:rsidRDefault="004744C4" w:rsidP="00A31FBA">
      <w:pPr>
        <w:pStyle w:val="NormalNoir"/>
        <w:pBdr>
          <w:top w:val="single" w:sz="4" w:space="1" w:color="000000"/>
          <w:left w:val="single" w:sz="4" w:space="4" w:color="000000"/>
          <w:bottom w:val="single" w:sz="4" w:space="1" w:color="000000"/>
          <w:right w:val="single" w:sz="4" w:space="4" w:color="000000"/>
        </w:pBdr>
        <w:jc w:val="center"/>
        <w:rPr>
          <w:color w:val="auto"/>
        </w:rPr>
      </w:pPr>
      <w:r>
        <w:rPr>
          <w:color w:val="auto"/>
        </w:rPr>
        <w:t>Livrables</w:t>
      </w:r>
    </w:p>
    <w:p w14:paraId="2002B7FD" w14:textId="712251AD" w:rsidR="004744C4" w:rsidRDefault="00A31FBA" w:rsidP="004744C4">
      <w:r>
        <w:t>Les livrables attendus sont :</w:t>
      </w:r>
    </w:p>
    <w:p w14:paraId="4CA45B06" w14:textId="6EDE32D3" w:rsidR="00A31FBA" w:rsidRDefault="00A31FBA" w:rsidP="00E45AE5">
      <w:pPr>
        <w:pStyle w:val="Paragraphedeliste"/>
        <w:numPr>
          <w:ilvl w:val="0"/>
          <w:numId w:val="60"/>
        </w:numPr>
      </w:pPr>
      <w:r>
        <w:t>Tableaux/matrices de sensibilité avec la notation et la description de la sensibilité par actifs / fonctionnalité / aléa (physique et fonctionnel)</w:t>
      </w:r>
    </w:p>
    <w:p w14:paraId="26B51212" w14:textId="5D50BE24" w:rsidR="00A31FBA" w:rsidRDefault="00A31FBA" w:rsidP="00E45AE5">
      <w:pPr>
        <w:pStyle w:val="Paragraphedeliste"/>
        <w:numPr>
          <w:ilvl w:val="0"/>
          <w:numId w:val="60"/>
        </w:numPr>
      </w:pPr>
      <w:r>
        <w:t>Des fiches détaillées sur les actifs critiques (seuils, impacts, facteurs aggravants)</w:t>
      </w:r>
    </w:p>
    <w:p w14:paraId="7D9B54CC" w14:textId="4C817C6B" w:rsidR="00A31FBA" w:rsidRDefault="00A31FBA" w:rsidP="00E45AE5">
      <w:pPr>
        <w:pStyle w:val="Paragraphedeliste"/>
        <w:numPr>
          <w:ilvl w:val="0"/>
          <w:numId w:val="60"/>
        </w:numPr>
      </w:pPr>
      <w:r>
        <w:t>Les comptes-rendus des échanges / ateliers</w:t>
      </w:r>
    </w:p>
    <w:p w14:paraId="2AF0D8CB" w14:textId="77777777" w:rsidR="00A31FBA" w:rsidRPr="004744C4" w:rsidRDefault="00A31FBA" w:rsidP="004744C4"/>
    <w:p w14:paraId="2FA39DD2" w14:textId="4DEDCE17" w:rsidR="00475841" w:rsidRDefault="00475841" w:rsidP="00475841">
      <w:pPr>
        <w:pStyle w:val="Titre3"/>
      </w:pPr>
      <w:bookmarkStart w:id="45" w:name="_Toc135131475"/>
      <w:bookmarkStart w:id="46" w:name="_Toc134612637"/>
      <w:bookmarkStart w:id="47" w:name="_Toc131759580"/>
      <w:bookmarkStart w:id="48" w:name="_Toc235518179"/>
      <w:r>
        <w:t>Etape 6 : Analyse de vulnérabilité</w:t>
      </w:r>
      <w:bookmarkEnd w:id="45"/>
      <w:bookmarkEnd w:id="46"/>
      <w:bookmarkEnd w:id="47"/>
      <w:bookmarkEnd w:id="48"/>
      <w:r>
        <w:t xml:space="preserve"> </w:t>
      </w:r>
    </w:p>
    <w:p w14:paraId="32EA51EA" w14:textId="4148B942" w:rsidR="00475841" w:rsidRDefault="004E5FCE" w:rsidP="00475841">
      <w:r>
        <w:tab/>
      </w:r>
      <w:r w:rsidR="000F6359">
        <w:t>Cette étape consiste à</w:t>
      </w:r>
      <w:r w:rsidR="00475841">
        <w:t xml:space="preserve"> </w:t>
      </w:r>
      <w:r w:rsidR="00475841">
        <w:rPr>
          <w:b/>
        </w:rPr>
        <w:t>caractériser l’impact des évolutions des variables climatiques sur les infrastructures</w:t>
      </w:r>
      <w:r w:rsidR="00475841">
        <w:t>. Cette caractérisation est obtenue par le croisement des évolutions des variables climatiques (étape 4) avec la sensibilité des systèmes ponctuels ou composants (étape 5).</w:t>
      </w:r>
    </w:p>
    <w:p w14:paraId="67EE896F" w14:textId="77777777" w:rsidR="000F6359" w:rsidRPr="000F6359" w:rsidRDefault="000F6359" w:rsidP="000F6359">
      <w:pPr>
        <w:spacing w:before="100" w:beforeAutospacing="1" w:after="100" w:afterAutospacing="1"/>
      </w:pPr>
      <w:r w:rsidRPr="000F6359">
        <w:t>Le prestataire réalisera :</w:t>
      </w:r>
    </w:p>
    <w:p w14:paraId="451B55C5" w14:textId="77777777" w:rsidR="000F6359" w:rsidRPr="000F6359" w:rsidRDefault="000F6359" w:rsidP="00E45AE5">
      <w:pPr>
        <w:numPr>
          <w:ilvl w:val="0"/>
          <w:numId w:val="61"/>
        </w:numPr>
        <w:spacing w:before="100" w:beforeAutospacing="1" w:after="100" w:afterAutospacing="1"/>
      </w:pPr>
      <w:r w:rsidRPr="000F6359">
        <w:t>Le croisement systématique des niveaux d’exposition (étape 4) et de sensibilité (étape 5) pour chaque actif et fonctionnalité retenus ;</w:t>
      </w:r>
    </w:p>
    <w:p w14:paraId="44B6365D" w14:textId="39E22C06" w:rsidR="000F6359" w:rsidRPr="000F6359" w:rsidRDefault="000F6359" w:rsidP="00E45AE5">
      <w:pPr>
        <w:numPr>
          <w:ilvl w:val="0"/>
          <w:numId w:val="61"/>
        </w:numPr>
        <w:spacing w:before="100" w:beforeAutospacing="1" w:after="100" w:afterAutospacing="1"/>
      </w:pPr>
      <w:r w:rsidRPr="000F6359">
        <w:t>La définition et l’application d’une échelle de notation de vulnérabilité</w:t>
      </w:r>
      <w:r>
        <w:t xml:space="preserve">, </w:t>
      </w:r>
      <w:r w:rsidRPr="000F6359">
        <w:t>justifiée et validée avec le GPMG et le Cerema</w:t>
      </w:r>
      <w:r w:rsidR="004D12BC">
        <w:t xml:space="preserve">. Ce travail est réalisé suivant une méthodologie adaptée notamment aux objectifs du </w:t>
      </w:r>
      <w:r w:rsidR="001C3AED">
        <w:t>GPMG</w:t>
      </w:r>
      <w:r w:rsidR="001C3AED" w:rsidRPr="000F6359">
        <w:t xml:space="preserve"> ;</w:t>
      </w:r>
    </w:p>
    <w:p w14:paraId="1D5078C9" w14:textId="77777777" w:rsidR="000F6359" w:rsidRPr="000F6359" w:rsidRDefault="000F6359" w:rsidP="00E45AE5">
      <w:pPr>
        <w:numPr>
          <w:ilvl w:val="0"/>
          <w:numId w:val="61"/>
        </w:numPr>
        <w:spacing w:before="100" w:beforeAutospacing="1" w:after="100" w:afterAutospacing="1"/>
      </w:pPr>
      <w:r w:rsidRPr="000F6359">
        <w:t>L’identification des vulnérabilités critiques qui menacent la continuité des services portuaires (accessibilité nautique et routière avec rupture maximale de 7 jours, PCA, sécurité des usagers, capacités d’import/export) ;</w:t>
      </w:r>
    </w:p>
    <w:p w14:paraId="3336792F" w14:textId="77777777" w:rsidR="000F6359" w:rsidRPr="000F6359" w:rsidRDefault="000F6359" w:rsidP="00E45AE5">
      <w:pPr>
        <w:numPr>
          <w:ilvl w:val="0"/>
          <w:numId w:val="61"/>
        </w:numPr>
        <w:spacing w:before="100" w:beforeAutospacing="1" w:after="100" w:afterAutospacing="1"/>
      </w:pPr>
      <w:r w:rsidRPr="000F6359">
        <w:t>La prise en compte des effets en chaîne, des interdépendances (notamment avec le CSG et le territoire) et des facteurs aggravants locaux ;</w:t>
      </w:r>
    </w:p>
    <w:p w14:paraId="4BD3C276" w14:textId="77777777" w:rsidR="000F6359" w:rsidRPr="000F6359" w:rsidRDefault="000F6359" w:rsidP="00E45AE5">
      <w:pPr>
        <w:numPr>
          <w:ilvl w:val="0"/>
          <w:numId w:val="61"/>
        </w:numPr>
        <w:spacing w:before="100" w:beforeAutospacing="1" w:after="100" w:afterAutospacing="1"/>
      </w:pPr>
      <w:r w:rsidRPr="000F6359">
        <w:t>La spatialisation des résultats pour une meilleure lisibilité.</w:t>
      </w:r>
    </w:p>
    <w:p w14:paraId="7E7B424D" w14:textId="1DF7E302" w:rsidR="00475841" w:rsidRDefault="004E5FCE" w:rsidP="00475841">
      <w:r>
        <w:tab/>
      </w:r>
      <w:r w:rsidR="00475841">
        <w:t xml:space="preserve">Lors de cette étape et si le besoin d’un niveau de précision plus important est identifié, les systèmes ponctuels ou composants les plus vulnérables pourront éventuellement être décomposés à nouveau sur le modèle de l’étape 2. Par cette itération, s’en suit alors une mise à jour de l’analyse suivant le processus décrit précédemment : collecte des données (étape 3), analyse d’exposition (étape 4) et analyse de sensibilité (étape 5). </w:t>
      </w:r>
    </w:p>
    <w:p w14:paraId="040BF8A0" w14:textId="77777777" w:rsidR="000A32FE" w:rsidRDefault="000A32FE" w:rsidP="00475841"/>
    <w:p w14:paraId="59AB8154" w14:textId="77777777" w:rsidR="00475841" w:rsidRDefault="00475841" w:rsidP="00475841">
      <w:r>
        <w:t>Cette étape se conclut par la structuration et la mise en forme des données de notations et des résultats de l’analyse de vulnérabilité afin que la modélisation finale des résultats soit adaptée aux besoins du gestionnaire, notamment ceux identifiés à l’étape de cadrage (étape 1).</w:t>
      </w:r>
    </w:p>
    <w:p w14:paraId="238D4903" w14:textId="77777777" w:rsidR="00475841" w:rsidRDefault="00475841" w:rsidP="00475841">
      <w:pPr>
        <w:pStyle w:val="NormalNoir"/>
        <w:jc w:val="center"/>
      </w:pPr>
      <w:r>
        <w:rPr>
          <w:noProof/>
          <w:lang w:eastAsia="fr-FR"/>
        </w:rPr>
        <w:lastRenderedPageBreak/>
        <w:drawing>
          <wp:inline distT="0" distB="0" distL="0" distR="0" wp14:anchorId="61B858C9" wp14:editId="7832F5E0">
            <wp:extent cx="4568190" cy="3086100"/>
            <wp:effectExtent l="0" t="0" r="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3"/>
                    <pic:cNvPicPr>
                      <a:picLocks noChangeAspect="1" noChangeArrowheads="1"/>
                    </pic:cNvPicPr>
                  </pic:nvPicPr>
                  <pic:blipFill>
                    <a:blip r:embed="rId16"/>
                    <a:stretch>
                      <a:fillRect/>
                    </a:stretch>
                  </pic:blipFill>
                  <pic:spPr bwMode="auto">
                    <a:xfrm>
                      <a:off x="0" y="0"/>
                      <a:ext cx="4568190" cy="3086100"/>
                    </a:xfrm>
                    <a:prstGeom prst="rect">
                      <a:avLst/>
                    </a:prstGeom>
                  </pic:spPr>
                </pic:pic>
              </a:graphicData>
            </a:graphic>
          </wp:inline>
        </w:drawing>
      </w:r>
    </w:p>
    <w:p w14:paraId="7E36B53A" w14:textId="77777777" w:rsidR="00475841" w:rsidRDefault="00475841" w:rsidP="00475841">
      <w:pPr>
        <w:pStyle w:val="Lgende"/>
        <w:jc w:val="center"/>
        <w:rPr>
          <w:color w:val="auto"/>
        </w:rPr>
      </w:pPr>
      <w:r>
        <w:rPr>
          <w:color w:val="auto"/>
        </w:rPr>
        <w:t>Illustration d’une échelle de notation des évènements climatiques et des sensibilités du composant « chaussée » : le croisement des deux échelles permet d’obtenir la vulnérabilité du composant aux évolutions climatiques projetées.</w:t>
      </w:r>
    </w:p>
    <w:p w14:paraId="65E88E9A" w14:textId="5551318F" w:rsidR="00463739" w:rsidRPr="00515E50" w:rsidRDefault="00625392" w:rsidP="00463739">
      <w:pPr>
        <w:pStyle w:val="NormalNoir"/>
        <w:rPr>
          <w:color w:val="292574" w:themeColor="accent2"/>
        </w:rPr>
      </w:pPr>
      <w:r>
        <w:rPr>
          <w:color w:val="292574" w:themeColor="accent2"/>
        </w:rPr>
        <w:tab/>
      </w:r>
      <w:r w:rsidR="00463739">
        <w:rPr>
          <w:color w:val="292574" w:themeColor="accent2"/>
        </w:rPr>
        <w:t xml:space="preserve">Le prestataire rédigera une synthèse sur les résultats de cette analyse des vulnérabilités physiques </w:t>
      </w:r>
      <w:r w:rsidR="003A3507">
        <w:rPr>
          <w:color w:val="292574" w:themeColor="accent2"/>
        </w:rPr>
        <w:t xml:space="preserve">et fonctionnelles </w:t>
      </w:r>
      <w:r w:rsidR="00463739">
        <w:rPr>
          <w:color w:val="292574" w:themeColor="accent2"/>
        </w:rPr>
        <w:t>(intégré au rapport d’étude). Cette synthèse devra s’attacher à répondre aux objectifs exposés au paragraphe 1 Contexte et objectifs de l’étude.</w:t>
      </w:r>
    </w:p>
    <w:p w14:paraId="3315AAB1" w14:textId="77777777" w:rsidR="00475841" w:rsidRDefault="00475841" w:rsidP="00475841">
      <w:pPr>
        <w:pStyle w:val="NormalNoir"/>
        <w:pBdr>
          <w:top w:val="single" w:sz="4" w:space="1" w:color="000000"/>
          <w:left w:val="single" w:sz="4" w:space="4" w:color="000000"/>
          <w:bottom w:val="single" w:sz="4" w:space="1" w:color="000000"/>
          <w:right w:val="single" w:sz="4" w:space="4" w:color="000000"/>
        </w:pBdr>
        <w:jc w:val="center"/>
        <w:rPr>
          <w:color w:val="auto"/>
        </w:rPr>
      </w:pPr>
      <w:r>
        <w:rPr>
          <w:color w:val="auto"/>
        </w:rPr>
        <w:t>Livrables</w:t>
      </w:r>
    </w:p>
    <w:p w14:paraId="61422775" w14:textId="25B949EE" w:rsidR="00475841" w:rsidRDefault="003A3507" w:rsidP="00475841">
      <w:r>
        <w:t xml:space="preserve">Les livrables attendus sont </w:t>
      </w:r>
      <w:r w:rsidR="00475841">
        <w:t>:</w:t>
      </w:r>
    </w:p>
    <w:p w14:paraId="657C8EB0" w14:textId="41873E30" w:rsidR="00475841" w:rsidRDefault="003A3507" w:rsidP="00E45AE5">
      <w:pPr>
        <w:pStyle w:val="Paragraphedeliste"/>
        <w:numPr>
          <w:ilvl w:val="0"/>
          <w:numId w:val="62"/>
        </w:numPr>
        <w:suppressAutoHyphens/>
        <w:spacing w:after="200" w:line="276" w:lineRule="auto"/>
      </w:pPr>
      <w:r>
        <w:t>Un livrable donnant la</w:t>
      </w:r>
      <w:r w:rsidR="00475841">
        <w:t xml:space="preserve"> méthodologie de croisement des échelles de notation adaptée </w:t>
      </w:r>
      <w:r>
        <w:t>aux</w:t>
      </w:r>
      <w:r w:rsidR="00475841">
        <w:t xml:space="preserve"> objectifs et décrite de manière détaillée pour être applicable lors de futures mises à jour</w:t>
      </w:r>
      <w:r>
        <w:t>, la définition des échelles de notation, une synthèse sur l’</w:t>
      </w:r>
      <w:r w:rsidR="00475841">
        <w:t>analyse de vulnérabilité (résultats de l’application de la méthodologie précédemment décrite) ;</w:t>
      </w:r>
    </w:p>
    <w:p w14:paraId="767AE8BA" w14:textId="75D01CC6" w:rsidR="00475841" w:rsidRDefault="003A3507" w:rsidP="00E45AE5">
      <w:pPr>
        <w:pStyle w:val="Paragraphedeliste"/>
        <w:numPr>
          <w:ilvl w:val="0"/>
          <w:numId w:val="62"/>
        </w:numPr>
        <w:suppressAutoHyphens/>
        <w:spacing w:after="200" w:line="276" w:lineRule="auto"/>
      </w:pPr>
      <w:r>
        <w:t>Les matrices</w:t>
      </w:r>
      <w:r w:rsidR="00475841">
        <w:t xml:space="preserve"> des résultats de l’analyse de vulnérabilité</w:t>
      </w:r>
      <w:r>
        <w:t xml:space="preserve"> physique et fonctionnelle</w:t>
      </w:r>
      <w:r w:rsidR="00475841">
        <w:t> ;</w:t>
      </w:r>
    </w:p>
    <w:p w14:paraId="643F0BE6" w14:textId="6305CD6A" w:rsidR="00475841" w:rsidRDefault="003A3507" w:rsidP="00E45AE5">
      <w:pPr>
        <w:pStyle w:val="Paragraphedeliste"/>
        <w:numPr>
          <w:ilvl w:val="0"/>
          <w:numId w:val="62"/>
        </w:numPr>
        <w:suppressAutoHyphens/>
        <w:spacing w:after="200" w:line="276" w:lineRule="auto"/>
      </w:pPr>
      <w:r>
        <w:t>Une synthèse des vulnérabilités critiques (fiches ou tableau) avec un focus sur la continuité des services</w:t>
      </w:r>
      <w:r w:rsidR="00475841">
        <w:t>.</w:t>
      </w:r>
    </w:p>
    <w:p w14:paraId="6477CD60" w14:textId="77777777" w:rsidR="00475841" w:rsidRDefault="00475841" w:rsidP="00475841">
      <w:pPr>
        <w:pStyle w:val="Titre3"/>
      </w:pPr>
      <w:bookmarkStart w:id="49" w:name="_Toc135131476"/>
      <w:bookmarkStart w:id="50" w:name="_Toc134612638"/>
      <w:bookmarkStart w:id="51" w:name="_Toc131759581"/>
      <w:bookmarkStart w:id="52" w:name="_Toc235518180"/>
      <w:r>
        <w:t>Etape 7 : Analyse de risque</w:t>
      </w:r>
      <w:bookmarkEnd w:id="49"/>
      <w:bookmarkEnd w:id="50"/>
      <w:bookmarkEnd w:id="51"/>
      <w:bookmarkEnd w:id="52"/>
      <w:r>
        <w:t xml:space="preserve"> </w:t>
      </w:r>
    </w:p>
    <w:p w14:paraId="630EB603" w14:textId="26E72E57" w:rsidR="00475841" w:rsidRDefault="00625392" w:rsidP="00475841">
      <w:r>
        <w:tab/>
      </w:r>
      <w:r w:rsidR="00475841">
        <w:t xml:space="preserve">Cette étape vise à </w:t>
      </w:r>
      <w:r w:rsidR="00E04679">
        <w:t>faire le lien entre résilience du GPMG et résilience du territoire et à mieux comprendre les potentiels impacts sur le territoire de la défaillance des infrastructures et/ou fonctionnalités du GPMG.</w:t>
      </w:r>
      <w:r w:rsidR="00475841">
        <w:t> Elle commence donc par la définition de ces enjeux et leur hiérarchisation, en relation avec les objectifs établis lors du cadrage</w:t>
      </w:r>
      <w:r w:rsidR="00E04679">
        <w:t xml:space="preserve"> à l’</w:t>
      </w:r>
      <w:r w:rsidR="00475841">
        <w:t xml:space="preserve">étape 1 et des interrelations avec </w:t>
      </w:r>
      <w:r w:rsidR="00AA4CA5">
        <w:t>le territoire identifié</w:t>
      </w:r>
      <w:r w:rsidR="00475841">
        <w:t xml:space="preserve"> dans l’étape 2.</w:t>
      </w:r>
    </w:p>
    <w:p w14:paraId="6468ECC1" w14:textId="77777777" w:rsidR="00AA4CA5" w:rsidRDefault="00AA4CA5" w:rsidP="00475841"/>
    <w:p w14:paraId="41C04055" w14:textId="0DE98EF5" w:rsidR="00AA4CA5" w:rsidRDefault="00625392" w:rsidP="00475841">
      <w:r>
        <w:tab/>
      </w:r>
      <w:r w:rsidR="00475841">
        <w:t xml:space="preserve">Cette étape permet d’identifier les systèmes ou composants dont l’indisponibilité (du fait d’une perturbation, d’une dégradation ou d’une destruction) a des conséquences graves vis-à-vis du fonctionnement du </w:t>
      </w:r>
      <w:r w:rsidR="00AA4CA5">
        <w:t>GPMG</w:t>
      </w:r>
      <w:r w:rsidR="00475841">
        <w:t xml:space="preserve"> ou du territoire. En général, les conséquences se traduisent par des pertes de performance (allongement des temps de déchargement, dégradation du niveau de sécurité pour les usagers...) et/ou des ruptures de service. Une fois cette analyse réalisée, il est indispensable de déterminer les conséquences d’une défaillance d’un système ponctuel ou d’un composant sur ces enjeux. </w:t>
      </w:r>
      <w:r w:rsidR="00670BE2">
        <w:t>L’analyse de ces enjeux soulève également la question de l’interdépendance des réseaux et de leur indépendance entre infrastructures.</w:t>
      </w:r>
    </w:p>
    <w:p w14:paraId="10938F61" w14:textId="77777777" w:rsidR="00AA4CA5" w:rsidRDefault="00AA4CA5" w:rsidP="00475841"/>
    <w:p w14:paraId="46697EA3" w14:textId="541E0E31" w:rsidR="00475841" w:rsidRDefault="00625392" w:rsidP="00475841">
      <w:r>
        <w:tab/>
      </w:r>
      <w:r w:rsidR="00475841">
        <w:t>Le guide « Vulnérabilités et risques : les infrastructures de transport face au climat » du Cerema et la norme NF EN ISO 14091 relative à l’adaptation aux changements climatiques - « Ligne directrice sur la vulnérabilité, les impacts et l’évaluation des risques » décrivent plusieurs méthodes mobilisables.</w:t>
      </w:r>
    </w:p>
    <w:p w14:paraId="24E78B35" w14:textId="77777777" w:rsidR="00AA4CA5" w:rsidRDefault="00AA4CA5" w:rsidP="00475841"/>
    <w:p w14:paraId="582BFC1E" w14:textId="201348B1" w:rsidR="00475841" w:rsidRDefault="00625392" w:rsidP="00475841">
      <w:pPr>
        <w:rPr>
          <w:b/>
        </w:rPr>
      </w:pPr>
      <w:r>
        <w:rPr>
          <w:b/>
        </w:rPr>
        <w:lastRenderedPageBreak/>
        <w:tab/>
      </w:r>
      <w:r w:rsidR="00475841">
        <w:rPr>
          <w:b/>
        </w:rPr>
        <w:t>Il est attendu dans cette étape une estimation des conséquences économiques de l’impact des évènements climatiques sur le fonctionnement du port, permettant de hiérarchiser celles-ci.</w:t>
      </w:r>
    </w:p>
    <w:p w14:paraId="22B08B81" w14:textId="77777777" w:rsidR="00AA4CA5" w:rsidRDefault="00AA4CA5" w:rsidP="00475841">
      <w:pPr>
        <w:rPr>
          <w:b/>
        </w:rPr>
      </w:pPr>
    </w:p>
    <w:p w14:paraId="2A7400FD" w14:textId="61E73A76" w:rsidR="00475841" w:rsidRDefault="00860D53" w:rsidP="00475841">
      <w:r>
        <w:tab/>
      </w:r>
      <w:r w:rsidR="00475841">
        <w:t xml:space="preserve">L’analyse des enjeux peut nécessiter de mobiliser un certain nombre de données </w:t>
      </w:r>
      <w:r w:rsidR="00AA4CA5">
        <w:t>et</w:t>
      </w:r>
      <w:r w:rsidR="00475841">
        <w:t xml:space="preserve"> il convient de s’assurer qu’elles sont disponibles. Ce travail est à mener en parallèle avec celui réalisé dans l’étape 3. En fonction du niveau de détail de cette analyse, une itération sur les données collectées peut s’avérer pertinente.</w:t>
      </w:r>
    </w:p>
    <w:p w14:paraId="34AB84AE" w14:textId="77777777" w:rsidR="00AA4CA5" w:rsidRDefault="00AA4CA5" w:rsidP="00475841"/>
    <w:p w14:paraId="3F56A794" w14:textId="2FB7C05A" w:rsidR="00475841" w:rsidRDefault="00F41C73" w:rsidP="00475841">
      <w:r>
        <w:tab/>
      </w:r>
      <w:r w:rsidR="00475841">
        <w:t>A l’issue de cette analyse, les systèmes ponctuels ou composants du réseau sont notés en fonction des conséquences de leur indisponibilité sur le fonctionnement du site ou du territoire. Cette notation doit répondre à une méthodologie répondant aux objectifs du gestionnaire.</w:t>
      </w:r>
    </w:p>
    <w:p w14:paraId="3468D973" w14:textId="77777777" w:rsidR="00AA4CA5" w:rsidRDefault="00AA4CA5" w:rsidP="00475841"/>
    <w:p w14:paraId="7A679F0C" w14:textId="375B0766" w:rsidR="00475841" w:rsidRDefault="00F41C73" w:rsidP="00475841">
      <w:pPr>
        <w:spacing w:after="360"/>
      </w:pPr>
      <w:r>
        <w:tab/>
      </w:r>
      <w:r w:rsidR="00475841">
        <w:t xml:space="preserve">L’analyse de risque se conclut par le croisement de l’analyse de vulnérabilité (étape 6) et de l’analyse des enjeux (étape 7). Une fois de plus, cette étape nécessite d’abord d’établir une méthodologie partagée et répondant aux objectifs établis lors du cadrage de l’étude (étape 1). </w:t>
      </w:r>
    </w:p>
    <w:p w14:paraId="744D77BB" w14:textId="77777777" w:rsidR="00475841" w:rsidRDefault="00475841" w:rsidP="00475841">
      <w:pPr>
        <w:pStyle w:val="NormalNoir"/>
        <w:jc w:val="center"/>
      </w:pPr>
      <w:r>
        <w:rPr>
          <w:noProof/>
          <w:lang w:eastAsia="fr-FR"/>
        </w:rPr>
        <w:drawing>
          <wp:inline distT="0" distB="0" distL="0" distR="0" wp14:anchorId="071C7796" wp14:editId="6A245B1B">
            <wp:extent cx="5242560" cy="1024255"/>
            <wp:effectExtent l="0" t="0" r="0" b="0"/>
            <wp:docPr id="17"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62"/>
                    <pic:cNvPicPr>
                      <a:picLocks noChangeAspect="1" noChangeArrowheads="1"/>
                    </pic:cNvPicPr>
                  </pic:nvPicPr>
                  <pic:blipFill>
                    <a:blip r:embed="rId17"/>
                    <a:stretch>
                      <a:fillRect/>
                    </a:stretch>
                  </pic:blipFill>
                  <pic:spPr bwMode="auto">
                    <a:xfrm>
                      <a:off x="0" y="0"/>
                      <a:ext cx="5242560" cy="1024255"/>
                    </a:xfrm>
                    <a:prstGeom prst="rect">
                      <a:avLst/>
                    </a:prstGeom>
                  </pic:spPr>
                </pic:pic>
              </a:graphicData>
            </a:graphic>
          </wp:inline>
        </w:drawing>
      </w:r>
    </w:p>
    <w:p w14:paraId="5AF7422F" w14:textId="77777777" w:rsidR="00475841" w:rsidRDefault="00475841" w:rsidP="00475841">
      <w:pPr>
        <w:pStyle w:val="Lgende"/>
        <w:spacing w:after="0"/>
        <w:jc w:val="center"/>
        <w:rPr>
          <w:color w:val="auto"/>
        </w:rPr>
      </w:pPr>
      <w:r>
        <w:rPr>
          <w:color w:val="auto"/>
        </w:rPr>
        <w:t>Illustration du principe d’analyse de risque à partir de l’analyse de vulnérabilité et de l’analyse des enjeux</w:t>
      </w:r>
    </w:p>
    <w:p w14:paraId="5AB2EBA6" w14:textId="61898323" w:rsidR="00475841" w:rsidRDefault="00475841" w:rsidP="00475841">
      <w:pPr>
        <w:pStyle w:val="Lgende"/>
        <w:jc w:val="center"/>
        <w:rPr>
          <w:color w:val="auto"/>
        </w:rPr>
      </w:pPr>
      <w:r>
        <w:rPr>
          <w:color w:val="auto"/>
        </w:rPr>
        <w:t>(</w:t>
      </w:r>
      <w:r w:rsidR="00AA4CA5">
        <w:rPr>
          <w:color w:val="auto"/>
        </w:rPr>
        <w:t>Redécomposée</w:t>
      </w:r>
      <w:r>
        <w:rPr>
          <w:color w:val="auto"/>
        </w:rPr>
        <w:t xml:space="preserve"> ici en sous-étapes)</w:t>
      </w:r>
    </w:p>
    <w:p w14:paraId="1D0732B2" w14:textId="72E3C9A8" w:rsidR="00475841" w:rsidRDefault="00367197" w:rsidP="00475841">
      <w:r>
        <w:tab/>
      </w:r>
      <w:r w:rsidR="00475841">
        <w:t>Cette étape conclut la démarche d’analyse de risque au changement climatique. Le gestionnaire dispose à ce stade d’une vision globale des risques relatifs aux aléas et au changement climatique qui vont lui permettre d’engager une approche d’amélioration de la résilience de son réseau d’infrastructure.</w:t>
      </w:r>
    </w:p>
    <w:p w14:paraId="72B2EC2D" w14:textId="77777777" w:rsidR="00FB6EA5" w:rsidRDefault="00FB6EA5" w:rsidP="00475841"/>
    <w:p w14:paraId="7C043D70" w14:textId="1225EF4D" w:rsidR="00AA4CA5" w:rsidRDefault="00FB6EA5" w:rsidP="00475841">
      <w:r>
        <w:tab/>
      </w:r>
    </w:p>
    <w:p w14:paraId="3830A604" w14:textId="77777777" w:rsidR="00475841" w:rsidRDefault="00475841" w:rsidP="00475841">
      <w:pPr>
        <w:pStyle w:val="NormalNoir"/>
        <w:pBdr>
          <w:top w:val="single" w:sz="4" w:space="1" w:color="000000"/>
          <w:left w:val="single" w:sz="4" w:space="4" w:color="000000"/>
          <w:bottom w:val="single" w:sz="4" w:space="1" w:color="000000"/>
          <w:right w:val="single" w:sz="4" w:space="4" w:color="000000"/>
        </w:pBdr>
        <w:jc w:val="center"/>
        <w:rPr>
          <w:color w:val="auto"/>
        </w:rPr>
      </w:pPr>
      <w:r>
        <w:rPr>
          <w:color w:val="auto"/>
        </w:rPr>
        <w:t>Livrables</w:t>
      </w:r>
    </w:p>
    <w:p w14:paraId="3D5DA8A4" w14:textId="1DD874CF" w:rsidR="00475841" w:rsidRDefault="00475841" w:rsidP="00475841">
      <w:r>
        <w:t xml:space="preserve">Cette étape comprendra la livraison des éléments suivants </w:t>
      </w:r>
      <w:r w:rsidR="00670BE2">
        <w:t>sous forme de rapport :</w:t>
      </w:r>
    </w:p>
    <w:p w14:paraId="4D1B7677" w14:textId="49DAF58B" w:rsidR="00475841" w:rsidRDefault="00475841" w:rsidP="00E45AE5">
      <w:pPr>
        <w:pStyle w:val="Paragraphedeliste"/>
        <w:numPr>
          <w:ilvl w:val="0"/>
          <w:numId w:val="63"/>
        </w:numPr>
        <w:suppressAutoHyphens/>
        <w:spacing w:after="200" w:line="276" w:lineRule="auto"/>
      </w:pPr>
      <w:r>
        <w:t xml:space="preserve">Une liste des enjeux </w:t>
      </w:r>
      <w:r w:rsidR="00D54FE7">
        <w:t>concernant les infrastructures du GPMG</w:t>
      </w:r>
      <w:r>
        <w:t xml:space="preserve"> par rapport au territoire concerné</w:t>
      </w:r>
      <w:r w:rsidR="007046C5">
        <w:t>,</w:t>
      </w:r>
      <w:r>
        <w:t xml:space="preserve"> accompagnée d’une définition et d’une hiérarchisation conforme aux objectifs édictés lors du cadrage de l’étude (étape 1) ;</w:t>
      </w:r>
    </w:p>
    <w:p w14:paraId="44CF8187" w14:textId="23494B53" w:rsidR="00475841" w:rsidRDefault="00475841" w:rsidP="00E45AE5">
      <w:pPr>
        <w:pStyle w:val="Paragraphedeliste"/>
        <w:numPr>
          <w:ilvl w:val="0"/>
          <w:numId w:val="63"/>
        </w:numPr>
        <w:suppressAutoHyphens/>
        <w:spacing w:after="200" w:line="276" w:lineRule="auto"/>
      </w:pPr>
      <w:r>
        <w:t>Une analyse d’enjeu (</w:t>
      </w:r>
      <w:r w:rsidR="007046C5">
        <w:t>avec échelle de notation adaptée aux objectifs)</w:t>
      </w:r>
      <w:r>
        <w:t> ;</w:t>
      </w:r>
    </w:p>
    <w:p w14:paraId="5953E5C1" w14:textId="77777777" w:rsidR="00475841" w:rsidRDefault="00475841" w:rsidP="00E45AE5">
      <w:pPr>
        <w:pStyle w:val="Paragraphedeliste"/>
        <w:numPr>
          <w:ilvl w:val="0"/>
          <w:numId w:val="63"/>
        </w:numPr>
        <w:suppressAutoHyphens/>
        <w:spacing w:after="200" w:line="276" w:lineRule="auto"/>
      </w:pPr>
      <w:r>
        <w:t>Une méthodologie de croisement des analyses de vulnérabilité et d’enjeu répondant aux objectifs du gestionnaire ;</w:t>
      </w:r>
    </w:p>
    <w:p w14:paraId="02A1F1DC" w14:textId="71C6553C" w:rsidR="00475841" w:rsidRDefault="00475841" w:rsidP="00E45AE5">
      <w:pPr>
        <w:pStyle w:val="Paragraphedeliste"/>
        <w:numPr>
          <w:ilvl w:val="0"/>
          <w:numId w:val="63"/>
        </w:numPr>
        <w:suppressAutoHyphens/>
        <w:spacing w:after="200" w:line="276" w:lineRule="auto"/>
      </w:pPr>
      <w:r>
        <w:t>Une analyse de risque (résultats de l’application de la méthodologie précédemment décrite)</w:t>
      </w:r>
      <w:r w:rsidR="00670BE2">
        <w:t xml:space="preserve"> </w:t>
      </w:r>
      <w:r>
        <w:t>;</w:t>
      </w:r>
    </w:p>
    <w:p w14:paraId="33A975E4" w14:textId="1A62B5EE" w:rsidR="00475841" w:rsidRPr="00670BE2" w:rsidRDefault="00670BE2" w:rsidP="00E45AE5">
      <w:pPr>
        <w:pStyle w:val="Paragraphedeliste"/>
        <w:numPr>
          <w:ilvl w:val="0"/>
          <w:numId w:val="63"/>
        </w:numPr>
        <w:suppressAutoHyphens/>
        <w:spacing w:after="200" w:line="276" w:lineRule="auto"/>
      </w:pPr>
      <w:r>
        <w:t>Un tableur</w:t>
      </w:r>
      <w:r w:rsidR="00475841">
        <w:t xml:space="preserve"> des résultats de l’analyse de risque comprenant </w:t>
      </w:r>
      <w:r w:rsidR="00475841" w:rsidRPr="00670BE2">
        <w:t>l’estimation des conséquences économiques ;</w:t>
      </w:r>
    </w:p>
    <w:p w14:paraId="1DBF95B7" w14:textId="6EE3BDA0" w:rsidR="008A3849" w:rsidRDefault="00AA4CA5" w:rsidP="00E45AE5">
      <w:pPr>
        <w:pStyle w:val="Paragraphedeliste"/>
        <w:numPr>
          <w:ilvl w:val="0"/>
          <w:numId w:val="63"/>
        </w:numPr>
        <w:suppressAutoHyphens/>
        <w:spacing w:after="200" w:line="276" w:lineRule="auto"/>
      </w:pPr>
      <w:r w:rsidRPr="00670BE2">
        <w:t xml:space="preserve">Une analyse cout bénéfice </w:t>
      </w:r>
      <w:r w:rsidR="00E1679C" w:rsidRPr="00670BE2">
        <w:t>(fourchettes estimatives pour chaque impact)</w:t>
      </w:r>
    </w:p>
    <w:p w14:paraId="31EE9CF6" w14:textId="4EBEF057" w:rsidR="008A3849" w:rsidRDefault="008A3849">
      <w:pPr>
        <w:jc w:val="left"/>
      </w:pPr>
      <w:r>
        <w:br w:type="page"/>
      </w:r>
    </w:p>
    <w:p w14:paraId="0E172B0D" w14:textId="25E882DA" w:rsidR="00536BB8" w:rsidRDefault="00536BB8" w:rsidP="00536BB8">
      <w:pPr>
        <w:pStyle w:val="Titre3"/>
      </w:pPr>
      <w:bookmarkStart w:id="53" w:name="_Toc235518181"/>
      <w:r>
        <w:lastRenderedPageBreak/>
        <w:t>Résumé des livrables attendus pour la phase 3</w:t>
      </w:r>
      <w:bookmarkEnd w:id="53"/>
    </w:p>
    <w:tbl>
      <w:tblPr>
        <w:tblStyle w:val="Grilledutableau"/>
        <w:tblW w:w="10343" w:type="dxa"/>
        <w:tblLook w:val="04A0" w:firstRow="1" w:lastRow="0" w:firstColumn="1" w:lastColumn="0" w:noHBand="0" w:noVBand="1"/>
      </w:tblPr>
      <w:tblGrid>
        <w:gridCol w:w="1641"/>
        <w:gridCol w:w="900"/>
        <w:gridCol w:w="6810"/>
        <w:gridCol w:w="1161"/>
      </w:tblGrid>
      <w:tr w:rsidR="008E6448" w:rsidRPr="008E6448" w14:paraId="0FC1E70F" w14:textId="77777777" w:rsidTr="00536BB8">
        <w:trPr>
          <w:trHeight w:val="300"/>
        </w:trPr>
        <w:tc>
          <w:tcPr>
            <w:tcW w:w="1641" w:type="dxa"/>
            <w:noWrap/>
            <w:hideMark/>
          </w:tcPr>
          <w:p w14:paraId="085B4DFC" w14:textId="77777777" w:rsidR="008E6448" w:rsidRPr="008E6448" w:rsidRDefault="008E6448" w:rsidP="008E6448">
            <w:pPr>
              <w:rPr>
                <w:color w:val="292574"/>
                <w:shd w:val="clear" w:color="auto" w:fill="FFFFFF"/>
              </w:rPr>
            </w:pPr>
            <w:r w:rsidRPr="008E6448">
              <w:rPr>
                <w:color w:val="292574"/>
                <w:shd w:val="clear" w:color="auto" w:fill="FFFFFF"/>
              </w:rPr>
              <w:t>Type de livrable</w:t>
            </w:r>
          </w:p>
        </w:tc>
        <w:tc>
          <w:tcPr>
            <w:tcW w:w="900" w:type="dxa"/>
            <w:noWrap/>
            <w:hideMark/>
          </w:tcPr>
          <w:p w14:paraId="31CB6E4D" w14:textId="77777777" w:rsidR="008E6448" w:rsidRPr="008E6448" w:rsidRDefault="008E6448">
            <w:pPr>
              <w:rPr>
                <w:color w:val="292574"/>
                <w:shd w:val="clear" w:color="auto" w:fill="FFFFFF"/>
              </w:rPr>
            </w:pPr>
            <w:r w:rsidRPr="008E6448">
              <w:rPr>
                <w:color w:val="292574"/>
                <w:shd w:val="clear" w:color="auto" w:fill="FFFFFF"/>
              </w:rPr>
              <w:t>Étape</w:t>
            </w:r>
          </w:p>
        </w:tc>
        <w:tc>
          <w:tcPr>
            <w:tcW w:w="6810" w:type="dxa"/>
            <w:noWrap/>
            <w:hideMark/>
          </w:tcPr>
          <w:p w14:paraId="64534AD3" w14:textId="77777777" w:rsidR="008E6448" w:rsidRPr="008E6448" w:rsidRDefault="008E6448">
            <w:pPr>
              <w:rPr>
                <w:color w:val="292574"/>
                <w:shd w:val="clear" w:color="auto" w:fill="FFFFFF"/>
              </w:rPr>
            </w:pPr>
            <w:r w:rsidRPr="008E6448">
              <w:rPr>
                <w:color w:val="292574"/>
                <w:shd w:val="clear" w:color="auto" w:fill="FFFFFF"/>
              </w:rPr>
              <w:t>Contenu détaillé attendu</w:t>
            </w:r>
          </w:p>
        </w:tc>
        <w:tc>
          <w:tcPr>
            <w:tcW w:w="992" w:type="dxa"/>
            <w:noWrap/>
            <w:hideMark/>
          </w:tcPr>
          <w:p w14:paraId="6A6A6C19" w14:textId="77777777" w:rsidR="008E6448" w:rsidRPr="008E6448" w:rsidRDefault="008E6448">
            <w:pPr>
              <w:rPr>
                <w:color w:val="292574"/>
                <w:shd w:val="clear" w:color="auto" w:fill="FFFFFF"/>
              </w:rPr>
            </w:pPr>
            <w:r w:rsidRPr="008E6448">
              <w:rPr>
                <w:color w:val="292574"/>
                <w:shd w:val="clear" w:color="auto" w:fill="FFFFFF"/>
              </w:rPr>
              <w:t>Formats</w:t>
            </w:r>
          </w:p>
        </w:tc>
      </w:tr>
      <w:tr w:rsidR="008E6448" w:rsidRPr="008E6448" w14:paraId="613EA2D9" w14:textId="77777777" w:rsidTr="00536BB8">
        <w:trPr>
          <w:trHeight w:val="900"/>
        </w:trPr>
        <w:tc>
          <w:tcPr>
            <w:tcW w:w="1641" w:type="dxa"/>
            <w:vMerge w:val="restart"/>
            <w:noWrap/>
            <w:hideMark/>
          </w:tcPr>
          <w:p w14:paraId="204A7A96" w14:textId="77777777" w:rsidR="008E6448" w:rsidRPr="008E6448" w:rsidRDefault="008E6448">
            <w:pPr>
              <w:rPr>
                <w:color w:val="292574"/>
                <w:shd w:val="clear" w:color="auto" w:fill="FFFFFF"/>
              </w:rPr>
            </w:pPr>
            <w:r w:rsidRPr="008E6448">
              <w:rPr>
                <w:color w:val="292574"/>
                <w:shd w:val="clear" w:color="auto" w:fill="FFFFFF"/>
              </w:rPr>
              <w:t>Rapport</w:t>
            </w:r>
          </w:p>
          <w:p w14:paraId="1CC9D41D" w14:textId="476187F1" w:rsidR="008E6448" w:rsidRPr="008E6448" w:rsidRDefault="008E6448" w:rsidP="00333588">
            <w:pPr>
              <w:rPr>
                <w:color w:val="292574"/>
                <w:shd w:val="clear" w:color="auto" w:fill="FFFFFF"/>
              </w:rPr>
            </w:pPr>
          </w:p>
        </w:tc>
        <w:tc>
          <w:tcPr>
            <w:tcW w:w="900" w:type="dxa"/>
            <w:noWrap/>
            <w:hideMark/>
          </w:tcPr>
          <w:p w14:paraId="05DB0FB7" w14:textId="77777777" w:rsidR="008E6448" w:rsidRPr="008E6448" w:rsidRDefault="008E6448" w:rsidP="008E6448">
            <w:pPr>
              <w:rPr>
                <w:color w:val="292574"/>
                <w:shd w:val="clear" w:color="auto" w:fill="FFFFFF"/>
              </w:rPr>
            </w:pPr>
            <w:r w:rsidRPr="008E6448">
              <w:rPr>
                <w:color w:val="292574"/>
                <w:shd w:val="clear" w:color="auto" w:fill="FFFFFF"/>
              </w:rPr>
              <w:t>4</w:t>
            </w:r>
          </w:p>
        </w:tc>
        <w:tc>
          <w:tcPr>
            <w:tcW w:w="6810" w:type="dxa"/>
            <w:hideMark/>
          </w:tcPr>
          <w:p w14:paraId="3FF69548" w14:textId="33C23340" w:rsidR="008E6448" w:rsidRPr="008E6448" w:rsidRDefault="008E6448" w:rsidP="008E6448">
            <w:pPr>
              <w:rPr>
                <w:color w:val="292574"/>
                <w:shd w:val="clear" w:color="auto" w:fill="FFFFFF"/>
              </w:rPr>
            </w:pPr>
            <w:r w:rsidRPr="008E6448">
              <w:rPr>
                <w:color w:val="292574"/>
                <w:shd w:val="clear" w:color="auto" w:fill="FFFFFF"/>
              </w:rPr>
              <w:t xml:space="preserve">Rapport d’analyse de l’exposition aux aléas climatiques actuels et projetés : description des indicateurs climatiques retenus, scénarios TRACC et SSP, utilisation des données DRIAS et sources complémentaires, recours éventuel à des </w:t>
            </w:r>
            <w:r w:rsidR="003A53E0">
              <w:rPr>
                <w:color w:val="292574"/>
                <w:shd w:val="clear" w:color="auto" w:fill="FFFFFF"/>
              </w:rPr>
              <w:t>tendances quantifiées</w:t>
            </w:r>
            <w:r w:rsidRPr="008E6448">
              <w:rPr>
                <w:color w:val="292574"/>
                <w:shd w:val="clear" w:color="auto" w:fill="FFFFFF"/>
              </w:rPr>
              <w:t>, périodes de référence et horizons de projection, méthodologie de traitement, niveau d’incertitude associé, synthèse des évolutions climatiques par aléa</w:t>
            </w:r>
          </w:p>
        </w:tc>
        <w:tc>
          <w:tcPr>
            <w:tcW w:w="992" w:type="dxa"/>
            <w:vMerge w:val="restart"/>
            <w:noWrap/>
            <w:hideMark/>
          </w:tcPr>
          <w:p w14:paraId="2422F2EF" w14:textId="75B0AFF2" w:rsidR="008E6448" w:rsidRPr="008E6448" w:rsidRDefault="008E6448">
            <w:pPr>
              <w:rPr>
                <w:color w:val="292574"/>
                <w:shd w:val="clear" w:color="auto" w:fill="FFFFFF"/>
              </w:rPr>
            </w:pPr>
            <w:r w:rsidRPr="008E6448">
              <w:rPr>
                <w:color w:val="292574"/>
                <w:shd w:val="clear" w:color="auto" w:fill="FFFFFF"/>
              </w:rPr>
              <w:t>PDF</w:t>
            </w:r>
            <w:r w:rsidR="00C704C8">
              <w:rPr>
                <w:color w:val="292574"/>
                <w:shd w:val="clear" w:color="auto" w:fill="FFFFFF"/>
              </w:rPr>
              <w:t xml:space="preserve"> + </w:t>
            </w:r>
            <w:r w:rsidR="00C97E42">
              <w:rPr>
                <w:color w:val="292574"/>
                <w:shd w:val="clear" w:color="auto" w:fill="FFFFFF"/>
              </w:rPr>
              <w:t>Word</w:t>
            </w:r>
          </w:p>
          <w:p w14:paraId="71C9AEAA" w14:textId="4859C9F1" w:rsidR="008E6448" w:rsidRPr="008E6448" w:rsidRDefault="008E6448" w:rsidP="00333588">
            <w:pPr>
              <w:rPr>
                <w:color w:val="292574"/>
                <w:shd w:val="clear" w:color="auto" w:fill="FFFFFF"/>
              </w:rPr>
            </w:pPr>
          </w:p>
        </w:tc>
      </w:tr>
      <w:tr w:rsidR="008E6448" w:rsidRPr="008E6448" w14:paraId="7EE9C71E" w14:textId="77777777" w:rsidTr="00536BB8">
        <w:trPr>
          <w:trHeight w:val="900"/>
        </w:trPr>
        <w:tc>
          <w:tcPr>
            <w:tcW w:w="1641" w:type="dxa"/>
            <w:vMerge/>
            <w:noWrap/>
            <w:hideMark/>
          </w:tcPr>
          <w:p w14:paraId="3AFA38AC" w14:textId="227FEA41" w:rsidR="008E6448" w:rsidRPr="008E6448" w:rsidRDefault="008E6448" w:rsidP="00333588">
            <w:pPr>
              <w:rPr>
                <w:color w:val="292574"/>
                <w:shd w:val="clear" w:color="auto" w:fill="FFFFFF"/>
              </w:rPr>
            </w:pPr>
          </w:p>
        </w:tc>
        <w:tc>
          <w:tcPr>
            <w:tcW w:w="900" w:type="dxa"/>
            <w:noWrap/>
            <w:hideMark/>
          </w:tcPr>
          <w:p w14:paraId="2C5CF028" w14:textId="77777777" w:rsidR="008E6448" w:rsidRPr="008E6448" w:rsidRDefault="008E6448" w:rsidP="008E6448">
            <w:pPr>
              <w:rPr>
                <w:color w:val="292574"/>
                <w:shd w:val="clear" w:color="auto" w:fill="FFFFFF"/>
              </w:rPr>
            </w:pPr>
            <w:r w:rsidRPr="008E6448">
              <w:rPr>
                <w:color w:val="292574"/>
                <w:shd w:val="clear" w:color="auto" w:fill="FFFFFF"/>
              </w:rPr>
              <w:t>5</w:t>
            </w:r>
          </w:p>
        </w:tc>
        <w:tc>
          <w:tcPr>
            <w:tcW w:w="6810" w:type="dxa"/>
            <w:hideMark/>
          </w:tcPr>
          <w:p w14:paraId="047607ED" w14:textId="77777777" w:rsidR="008E6448" w:rsidRPr="008E6448" w:rsidRDefault="008E6448" w:rsidP="008E6448">
            <w:pPr>
              <w:rPr>
                <w:color w:val="292574"/>
                <w:shd w:val="clear" w:color="auto" w:fill="FFFFFF"/>
              </w:rPr>
            </w:pPr>
            <w:r w:rsidRPr="008E6448">
              <w:rPr>
                <w:color w:val="292574"/>
                <w:shd w:val="clear" w:color="auto" w:fill="FFFFFF"/>
              </w:rPr>
              <w:t>Rapport d’analyse de sensibilité des infrastructures et fonctionnalités : identification des mécanismes de dégradation, scénarios d’impact par aléa et par actif, définition des seuils d’impact, analyse des facteurs aggravants, prise en compte des effets en chaîne et interdépendances, synthèse des ateliers et analyses bibliographiques</w:t>
            </w:r>
          </w:p>
        </w:tc>
        <w:tc>
          <w:tcPr>
            <w:tcW w:w="992" w:type="dxa"/>
            <w:vMerge/>
            <w:noWrap/>
            <w:hideMark/>
          </w:tcPr>
          <w:p w14:paraId="3F1AB6F6" w14:textId="3B00AE13" w:rsidR="008E6448" w:rsidRPr="008E6448" w:rsidRDefault="008E6448" w:rsidP="00333588">
            <w:pPr>
              <w:rPr>
                <w:color w:val="292574"/>
                <w:shd w:val="clear" w:color="auto" w:fill="FFFFFF"/>
              </w:rPr>
            </w:pPr>
          </w:p>
        </w:tc>
      </w:tr>
      <w:tr w:rsidR="008E6448" w:rsidRPr="008E6448" w14:paraId="4EEEC111" w14:textId="77777777" w:rsidTr="00536BB8">
        <w:trPr>
          <w:trHeight w:val="600"/>
        </w:trPr>
        <w:tc>
          <w:tcPr>
            <w:tcW w:w="1641" w:type="dxa"/>
            <w:vMerge/>
            <w:noWrap/>
            <w:hideMark/>
          </w:tcPr>
          <w:p w14:paraId="6988BC3D" w14:textId="2F73D78D" w:rsidR="008E6448" w:rsidRPr="008E6448" w:rsidRDefault="008E6448" w:rsidP="00333588">
            <w:pPr>
              <w:rPr>
                <w:color w:val="292574"/>
                <w:shd w:val="clear" w:color="auto" w:fill="FFFFFF"/>
              </w:rPr>
            </w:pPr>
          </w:p>
        </w:tc>
        <w:tc>
          <w:tcPr>
            <w:tcW w:w="900" w:type="dxa"/>
            <w:noWrap/>
            <w:hideMark/>
          </w:tcPr>
          <w:p w14:paraId="3DAA5131" w14:textId="77777777" w:rsidR="008E6448" w:rsidRPr="008E6448" w:rsidRDefault="008E6448" w:rsidP="008E6448">
            <w:pPr>
              <w:rPr>
                <w:color w:val="292574"/>
                <w:shd w:val="clear" w:color="auto" w:fill="FFFFFF"/>
              </w:rPr>
            </w:pPr>
            <w:r w:rsidRPr="008E6448">
              <w:rPr>
                <w:color w:val="292574"/>
                <w:shd w:val="clear" w:color="auto" w:fill="FFFFFF"/>
              </w:rPr>
              <w:t>6</w:t>
            </w:r>
          </w:p>
        </w:tc>
        <w:tc>
          <w:tcPr>
            <w:tcW w:w="6810" w:type="dxa"/>
            <w:hideMark/>
          </w:tcPr>
          <w:p w14:paraId="49F9A742" w14:textId="77777777" w:rsidR="008E6448" w:rsidRPr="008E6448" w:rsidRDefault="008E6448" w:rsidP="008E6448">
            <w:pPr>
              <w:rPr>
                <w:color w:val="292574"/>
                <w:shd w:val="clear" w:color="auto" w:fill="FFFFFF"/>
              </w:rPr>
            </w:pPr>
            <w:r w:rsidRPr="008E6448">
              <w:rPr>
                <w:color w:val="292574"/>
                <w:shd w:val="clear" w:color="auto" w:fill="FFFFFF"/>
              </w:rPr>
              <w:t>Rapport d’analyse de vulnérabilité : description de la méthodologie de croisement exposition/sensibilité, définition des échelles de notation, résultats de vulnérabilité physique et fonctionnelle par actif et aléa, identification des vulnérabilités critiques et synthèse associée</w:t>
            </w:r>
          </w:p>
        </w:tc>
        <w:tc>
          <w:tcPr>
            <w:tcW w:w="992" w:type="dxa"/>
            <w:vMerge/>
            <w:noWrap/>
            <w:hideMark/>
          </w:tcPr>
          <w:p w14:paraId="09925C62" w14:textId="193E9607" w:rsidR="008E6448" w:rsidRPr="008E6448" w:rsidRDefault="008E6448" w:rsidP="00333588">
            <w:pPr>
              <w:rPr>
                <w:color w:val="292574"/>
                <w:shd w:val="clear" w:color="auto" w:fill="FFFFFF"/>
              </w:rPr>
            </w:pPr>
          </w:p>
        </w:tc>
      </w:tr>
      <w:tr w:rsidR="008E6448" w:rsidRPr="008E6448" w14:paraId="416C5AE3" w14:textId="77777777" w:rsidTr="00536BB8">
        <w:trPr>
          <w:trHeight w:val="900"/>
        </w:trPr>
        <w:tc>
          <w:tcPr>
            <w:tcW w:w="1641" w:type="dxa"/>
            <w:vMerge/>
            <w:noWrap/>
            <w:hideMark/>
          </w:tcPr>
          <w:p w14:paraId="38717C1F" w14:textId="2F937F3D" w:rsidR="008E6448" w:rsidRPr="008E6448" w:rsidRDefault="008E6448">
            <w:pPr>
              <w:rPr>
                <w:color w:val="292574"/>
                <w:shd w:val="clear" w:color="auto" w:fill="FFFFFF"/>
              </w:rPr>
            </w:pPr>
          </w:p>
        </w:tc>
        <w:tc>
          <w:tcPr>
            <w:tcW w:w="900" w:type="dxa"/>
            <w:noWrap/>
            <w:hideMark/>
          </w:tcPr>
          <w:p w14:paraId="74B38E05" w14:textId="77777777" w:rsidR="008E6448" w:rsidRPr="008E6448" w:rsidRDefault="008E6448" w:rsidP="008E6448">
            <w:pPr>
              <w:rPr>
                <w:color w:val="292574"/>
                <w:shd w:val="clear" w:color="auto" w:fill="FFFFFF"/>
              </w:rPr>
            </w:pPr>
            <w:r w:rsidRPr="008E6448">
              <w:rPr>
                <w:color w:val="292574"/>
                <w:shd w:val="clear" w:color="auto" w:fill="FFFFFF"/>
              </w:rPr>
              <w:t>7</w:t>
            </w:r>
          </w:p>
        </w:tc>
        <w:tc>
          <w:tcPr>
            <w:tcW w:w="6810" w:type="dxa"/>
            <w:hideMark/>
          </w:tcPr>
          <w:p w14:paraId="275C5113" w14:textId="77777777" w:rsidR="008E6448" w:rsidRPr="008E6448" w:rsidRDefault="008E6448" w:rsidP="008E6448">
            <w:pPr>
              <w:rPr>
                <w:color w:val="292574"/>
                <w:shd w:val="clear" w:color="auto" w:fill="FFFFFF"/>
              </w:rPr>
            </w:pPr>
            <w:r w:rsidRPr="008E6448">
              <w:rPr>
                <w:color w:val="292574"/>
                <w:shd w:val="clear" w:color="auto" w:fill="FFFFFF"/>
              </w:rPr>
              <w:t>Rapport d’analyse des enjeux et des risques : identification et hiérarchisation des enjeux territoriaux et portuaires, méthodologie d’évaluation des enjeux, analyse des conséquences de défaillance des actifs, croisement vulnérabilité/enjeux, méthodologie et résultats de l’analyse de risque, estimation des conséquences économiques, synthèse des risques critiques</w:t>
            </w:r>
          </w:p>
        </w:tc>
        <w:tc>
          <w:tcPr>
            <w:tcW w:w="992" w:type="dxa"/>
            <w:vMerge/>
            <w:noWrap/>
            <w:hideMark/>
          </w:tcPr>
          <w:p w14:paraId="1B9F181A" w14:textId="7D3130B5" w:rsidR="008E6448" w:rsidRPr="008E6448" w:rsidRDefault="008E6448">
            <w:pPr>
              <w:rPr>
                <w:color w:val="292574"/>
                <w:shd w:val="clear" w:color="auto" w:fill="FFFFFF"/>
              </w:rPr>
            </w:pPr>
          </w:p>
        </w:tc>
      </w:tr>
      <w:tr w:rsidR="008E6448" w:rsidRPr="008E6448" w14:paraId="6028A5B2" w14:textId="77777777" w:rsidTr="00536BB8">
        <w:trPr>
          <w:trHeight w:val="600"/>
        </w:trPr>
        <w:tc>
          <w:tcPr>
            <w:tcW w:w="1641" w:type="dxa"/>
            <w:vMerge w:val="restart"/>
            <w:noWrap/>
            <w:hideMark/>
          </w:tcPr>
          <w:p w14:paraId="6569734F" w14:textId="77777777" w:rsidR="008E6448" w:rsidRPr="008E6448" w:rsidRDefault="008E6448">
            <w:pPr>
              <w:rPr>
                <w:color w:val="292574"/>
                <w:shd w:val="clear" w:color="auto" w:fill="FFFFFF"/>
              </w:rPr>
            </w:pPr>
            <w:r w:rsidRPr="008E6448">
              <w:rPr>
                <w:color w:val="292574"/>
                <w:shd w:val="clear" w:color="auto" w:fill="FFFFFF"/>
              </w:rPr>
              <w:t>Cartographie</w:t>
            </w:r>
          </w:p>
          <w:p w14:paraId="74E78E34" w14:textId="31965A98" w:rsidR="008E6448" w:rsidRPr="008E6448" w:rsidRDefault="008E6448" w:rsidP="00333588">
            <w:pPr>
              <w:rPr>
                <w:color w:val="292574"/>
                <w:shd w:val="clear" w:color="auto" w:fill="FFFFFF"/>
              </w:rPr>
            </w:pPr>
          </w:p>
        </w:tc>
        <w:tc>
          <w:tcPr>
            <w:tcW w:w="900" w:type="dxa"/>
            <w:noWrap/>
            <w:hideMark/>
          </w:tcPr>
          <w:p w14:paraId="724755A0" w14:textId="77777777" w:rsidR="008E6448" w:rsidRPr="008E6448" w:rsidRDefault="008E6448" w:rsidP="008E6448">
            <w:pPr>
              <w:rPr>
                <w:color w:val="292574"/>
                <w:shd w:val="clear" w:color="auto" w:fill="FFFFFF"/>
              </w:rPr>
            </w:pPr>
            <w:r w:rsidRPr="008E6448">
              <w:rPr>
                <w:color w:val="292574"/>
                <w:shd w:val="clear" w:color="auto" w:fill="FFFFFF"/>
              </w:rPr>
              <w:t>4</w:t>
            </w:r>
          </w:p>
        </w:tc>
        <w:tc>
          <w:tcPr>
            <w:tcW w:w="6810" w:type="dxa"/>
            <w:hideMark/>
          </w:tcPr>
          <w:p w14:paraId="35ACDB54" w14:textId="77777777" w:rsidR="008E6448" w:rsidRPr="008E6448" w:rsidRDefault="008E6448" w:rsidP="008E6448">
            <w:pPr>
              <w:rPr>
                <w:color w:val="292574"/>
                <w:shd w:val="clear" w:color="auto" w:fill="FFFFFF"/>
              </w:rPr>
            </w:pPr>
            <w:r w:rsidRPr="008E6448">
              <w:rPr>
                <w:color w:val="292574"/>
                <w:shd w:val="clear" w:color="auto" w:fill="FFFFFF"/>
              </w:rPr>
              <w:t>Cartes d’exposition aux aléas climatiques actuels et projetés : intensité des indicateurs climatiques par scénario et horizon, zones de dépassement de seuils, représentation des infrastructures portuaires</w:t>
            </w:r>
          </w:p>
        </w:tc>
        <w:tc>
          <w:tcPr>
            <w:tcW w:w="992" w:type="dxa"/>
            <w:vMerge w:val="restart"/>
            <w:noWrap/>
            <w:hideMark/>
          </w:tcPr>
          <w:p w14:paraId="24B61FBC" w14:textId="48B19208" w:rsidR="008E6448" w:rsidRPr="008E6448" w:rsidRDefault="008E6448">
            <w:pPr>
              <w:rPr>
                <w:color w:val="292574"/>
                <w:shd w:val="clear" w:color="auto" w:fill="FFFFFF"/>
              </w:rPr>
            </w:pPr>
            <w:r w:rsidRPr="008E6448">
              <w:rPr>
                <w:color w:val="292574"/>
                <w:shd w:val="clear" w:color="auto" w:fill="FFFFFF"/>
              </w:rPr>
              <w:t xml:space="preserve">PDF + SIG </w:t>
            </w:r>
            <w:r w:rsidR="00536BB8">
              <w:rPr>
                <w:color w:val="292574"/>
                <w:shd w:val="clear" w:color="auto" w:fill="FFFFFF"/>
              </w:rPr>
              <w:t>(utilisables par le GPMG)</w:t>
            </w:r>
          </w:p>
          <w:p w14:paraId="4366F743" w14:textId="62FA64E1" w:rsidR="008E6448" w:rsidRPr="008E6448" w:rsidRDefault="008E6448" w:rsidP="00333588">
            <w:pPr>
              <w:rPr>
                <w:color w:val="292574"/>
                <w:shd w:val="clear" w:color="auto" w:fill="FFFFFF"/>
              </w:rPr>
            </w:pPr>
          </w:p>
        </w:tc>
      </w:tr>
      <w:tr w:rsidR="008E6448" w:rsidRPr="008E6448" w14:paraId="57A3814C" w14:textId="77777777" w:rsidTr="00536BB8">
        <w:trPr>
          <w:trHeight w:val="300"/>
        </w:trPr>
        <w:tc>
          <w:tcPr>
            <w:tcW w:w="1641" w:type="dxa"/>
            <w:vMerge/>
            <w:noWrap/>
            <w:hideMark/>
          </w:tcPr>
          <w:p w14:paraId="2E5C8AF0" w14:textId="309B4DC3" w:rsidR="008E6448" w:rsidRPr="008E6448" w:rsidRDefault="008E6448" w:rsidP="00333588">
            <w:pPr>
              <w:rPr>
                <w:color w:val="292574"/>
                <w:shd w:val="clear" w:color="auto" w:fill="FFFFFF"/>
              </w:rPr>
            </w:pPr>
          </w:p>
        </w:tc>
        <w:tc>
          <w:tcPr>
            <w:tcW w:w="900" w:type="dxa"/>
            <w:noWrap/>
            <w:hideMark/>
          </w:tcPr>
          <w:p w14:paraId="2F4AEC96" w14:textId="77777777" w:rsidR="008E6448" w:rsidRPr="008E6448" w:rsidRDefault="008E6448" w:rsidP="008E6448">
            <w:pPr>
              <w:rPr>
                <w:color w:val="292574"/>
                <w:shd w:val="clear" w:color="auto" w:fill="FFFFFF"/>
              </w:rPr>
            </w:pPr>
            <w:r w:rsidRPr="008E6448">
              <w:rPr>
                <w:color w:val="292574"/>
                <w:shd w:val="clear" w:color="auto" w:fill="FFFFFF"/>
              </w:rPr>
              <w:t>4</w:t>
            </w:r>
          </w:p>
        </w:tc>
        <w:tc>
          <w:tcPr>
            <w:tcW w:w="6810" w:type="dxa"/>
            <w:hideMark/>
          </w:tcPr>
          <w:p w14:paraId="6862F056" w14:textId="77777777" w:rsidR="008E6448" w:rsidRPr="008E6448" w:rsidRDefault="008E6448" w:rsidP="008E6448">
            <w:pPr>
              <w:rPr>
                <w:color w:val="292574"/>
                <w:shd w:val="clear" w:color="auto" w:fill="FFFFFF"/>
              </w:rPr>
            </w:pPr>
            <w:r w:rsidRPr="008E6448">
              <w:rPr>
                <w:color w:val="292574"/>
                <w:shd w:val="clear" w:color="auto" w:fill="FFFFFF"/>
              </w:rPr>
              <w:t>Cartographies spécifiques : inondation par ruissellement et débordement de cours d’eau, submersion marine, érosion du trait de côte</w:t>
            </w:r>
          </w:p>
        </w:tc>
        <w:tc>
          <w:tcPr>
            <w:tcW w:w="992" w:type="dxa"/>
            <w:vMerge/>
            <w:noWrap/>
            <w:hideMark/>
          </w:tcPr>
          <w:p w14:paraId="36AAF5C6" w14:textId="51040648" w:rsidR="008E6448" w:rsidRPr="008E6448" w:rsidRDefault="008E6448" w:rsidP="00333588">
            <w:pPr>
              <w:rPr>
                <w:color w:val="292574"/>
                <w:shd w:val="clear" w:color="auto" w:fill="FFFFFF"/>
              </w:rPr>
            </w:pPr>
          </w:p>
        </w:tc>
      </w:tr>
      <w:tr w:rsidR="008E6448" w:rsidRPr="008E6448" w14:paraId="1D8FF9D4" w14:textId="77777777" w:rsidTr="00536BB8">
        <w:trPr>
          <w:trHeight w:val="300"/>
        </w:trPr>
        <w:tc>
          <w:tcPr>
            <w:tcW w:w="1641" w:type="dxa"/>
            <w:vMerge w:val="restart"/>
            <w:noWrap/>
            <w:hideMark/>
          </w:tcPr>
          <w:p w14:paraId="243E1935" w14:textId="77777777" w:rsidR="008E6448" w:rsidRPr="008E6448" w:rsidRDefault="008E6448">
            <w:pPr>
              <w:rPr>
                <w:color w:val="292574"/>
                <w:shd w:val="clear" w:color="auto" w:fill="FFFFFF"/>
              </w:rPr>
            </w:pPr>
            <w:r w:rsidRPr="008E6448">
              <w:rPr>
                <w:color w:val="292574"/>
                <w:shd w:val="clear" w:color="auto" w:fill="FFFFFF"/>
              </w:rPr>
              <w:t>Tableurs / matrices</w:t>
            </w:r>
          </w:p>
          <w:p w14:paraId="6C4B0859" w14:textId="6E7680DC" w:rsidR="008E6448" w:rsidRPr="008E6448" w:rsidRDefault="008E6448" w:rsidP="00333588">
            <w:pPr>
              <w:rPr>
                <w:color w:val="292574"/>
                <w:shd w:val="clear" w:color="auto" w:fill="FFFFFF"/>
              </w:rPr>
            </w:pPr>
          </w:p>
        </w:tc>
        <w:tc>
          <w:tcPr>
            <w:tcW w:w="900" w:type="dxa"/>
            <w:noWrap/>
            <w:hideMark/>
          </w:tcPr>
          <w:p w14:paraId="158C37B8" w14:textId="77777777" w:rsidR="008E6448" w:rsidRPr="008E6448" w:rsidRDefault="008E6448" w:rsidP="008E6448">
            <w:pPr>
              <w:rPr>
                <w:color w:val="292574"/>
                <w:shd w:val="clear" w:color="auto" w:fill="FFFFFF"/>
              </w:rPr>
            </w:pPr>
            <w:r w:rsidRPr="008E6448">
              <w:rPr>
                <w:color w:val="292574"/>
                <w:shd w:val="clear" w:color="auto" w:fill="FFFFFF"/>
              </w:rPr>
              <w:t>4</w:t>
            </w:r>
          </w:p>
        </w:tc>
        <w:tc>
          <w:tcPr>
            <w:tcW w:w="6810" w:type="dxa"/>
            <w:hideMark/>
          </w:tcPr>
          <w:p w14:paraId="3F424B36" w14:textId="77777777" w:rsidR="008E6448" w:rsidRPr="008E6448" w:rsidRDefault="008E6448" w:rsidP="008E6448">
            <w:pPr>
              <w:rPr>
                <w:color w:val="292574"/>
                <w:shd w:val="clear" w:color="auto" w:fill="FFFFFF"/>
              </w:rPr>
            </w:pPr>
            <w:r w:rsidRPr="008E6448">
              <w:rPr>
                <w:color w:val="292574"/>
                <w:shd w:val="clear" w:color="auto" w:fill="FFFFFF"/>
              </w:rPr>
              <w:t>Matrices d’exposition : notation des évolutions climatiques par indicateur, scénario et horizon de projection</w:t>
            </w:r>
          </w:p>
        </w:tc>
        <w:tc>
          <w:tcPr>
            <w:tcW w:w="992" w:type="dxa"/>
            <w:vMerge w:val="restart"/>
            <w:noWrap/>
            <w:hideMark/>
          </w:tcPr>
          <w:p w14:paraId="50E81D95" w14:textId="77777777" w:rsidR="008E6448" w:rsidRPr="008E6448" w:rsidRDefault="008E6448">
            <w:pPr>
              <w:rPr>
                <w:color w:val="292574"/>
                <w:shd w:val="clear" w:color="auto" w:fill="FFFFFF"/>
              </w:rPr>
            </w:pPr>
            <w:r w:rsidRPr="008E6448">
              <w:rPr>
                <w:color w:val="292574"/>
                <w:shd w:val="clear" w:color="auto" w:fill="FFFFFF"/>
              </w:rPr>
              <w:t>Excel</w:t>
            </w:r>
          </w:p>
          <w:p w14:paraId="6D4C2763" w14:textId="5D374007" w:rsidR="008E6448" w:rsidRPr="008E6448" w:rsidRDefault="008E6448" w:rsidP="00333588">
            <w:pPr>
              <w:rPr>
                <w:color w:val="292574"/>
                <w:shd w:val="clear" w:color="auto" w:fill="FFFFFF"/>
              </w:rPr>
            </w:pPr>
          </w:p>
        </w:tc>
      </w:tr>
      <w:tr w:rsidR="008E6448" w:rsidRPr="008E6448" w14:paraId="03A2E3E5" w14:textId="77777777" w:rsidTr="00536BB8">
        <w:trPr>
          <w:trHeight w:val="300"/>
        </w:trPr>
        <w:tc>
          <w:tcPr>
            <w:tcW w:w="1641" w:type="dxa"/>
            <w:vMerge/>
            <w:noWrap/>
            <w:hideMark/>
          </w:tcPr>
          <w:p w14:paraId="19A1C94B" w14:textId="4F991E24" w:rsidR="008E6448" w:rsidRPr="008E6448" w:rsidRDefault="008E6448" w:rsidP="00333588">
            <w:pPr>
              <w:rPr>
                <w:color w:val="292574"/>
                <w:shd w:val="clear" w:color="auto" w:fill="FFFFFF"/>
              </w:rPr>
            </w:pPr>
          </w:p>
        </w:tc>
        <w:tc>
          <w:tcPr>
            <w:tcW w:w="900" w:type="dxa"/>
            <w:noWrap/>
            <w:hideMark/>
          </w:tcPr>
          <w:p w14:paraId="6EB3F87E" w14:textId="77777777" w:rsidR="008E6448" w:rsidRPr="008E6448" w:rsidRDefault="008E6448" w:rsidP="008E6448">
            <w:pPr>
              <w:rPr>
                <w:color w:val="292574"/>
                <w:shd w:val="clear" w:color="auto" w:fill="FFFFFF"/>
              </w:rPr>
            </w:pPr>
            <w:r w:rsidRPr="008E6448">
              <w:rPr>
                <w:color w:val="292574"/>
                <w:shd w:val="clear" w:color="auto" w:fill="FFFFFF"/>
              </w:rPr>
              <w:t>5</w:t>
            </w:r>
          </w:p>
        </w:tc>
        <w:tc>
          <w:tcPr>
            <w:tcW w:w="6810" w:type="dxa"/>
            <w:hideMark/>
          </w:tcPr>
          <w:p w14:paraId="0950FE1A" w14:textId="0D5B3523" w:rsidR="008E6448" w:rsidRPr="008E6448" w:rsidRDefault="008E6448" w:rsidP="008E6448">
            <w:pPr>
              <w:rPr>
                <w:color w:val="292574"/>
                <w:shd w:val="clear" w:color="auto" w:fill="FFFFFF"/>
              </w:rPr>
            </w:pPr>
            <w:r w:rsidRPr="008E6448">
              <w:rPr>
                <w:color w:val="292574"/>
                <w:shd w:val="clear" w:color="auto" w:fill="FFFFFF"/>
              </w:rPr>
              <w:t>Matrices de sensibilité physique et fonctionnelle des infrastructures et fonctionnalités</w:t>
            </w:r>
            <w:r w:rsidR="009A113F">
              <w:rPr>
                <w:color w:val="292574"/>
                <w:shd w:val="clear" w:color="auto" w:fill="FFFFFF"/>
              </w:rPr>
              <w:t xml:space="preserve"> (</w:t>
            </w:r>
            <w:r w:rsidR="009A113F" w:rsidRPr="008E6448">
              <w:rPr>
                <w:color w:val="292574"/>
                <w:shd w:val="clear" w:color="auto" w:fill="FFFFFF"/>
              </w:rPr>
              <w:t>croisement aléas / actifs / mécanismes de dégradation / seuils / facteurs aggravants</w:t>
            </w:r>
            <w:r w:rsidR="009A113F">
              <w:rPr>
                <w:color w:val="292574"/>
                <w:shd w:val="clear" w:color="auto" w:fill="FFFFFF"/>
              </w:rPr>
              <w:t>)</w:t>
            </w:r>
          </w:p>
        </w:tc>
        <w:tc>
          <w:tcPr>
            <w:tcW w:w="992" w:type="dxa"/>
            <w:vMerge/>
            <w:noWrap/>
            <w:hideMark/>
          </w:tcPr>
          <w:p w14:paraId="0330D688" w14:textId="6EC2F436" w:rsidR="008E6448" w:rsidRPr="008E6448" w:rsidRDefault="008E6448" w:rsidP="00333588">
            <w:pPr>
              <w:rPr>
                <w:color w:val="292574"/>
                <w:shd w:val="clear" w:color="auto" w:fill="FFFFFF"/>
              </w:rPr>
            </w:pPr>
          </w:p>
        </w:tc>
      </w:tr>
      <w:tr w:rsidR="008E6448" w:rsidRPr="008E6448" w14:paraId="6A283D55" w14:textId="77777777" w:rsidTr="00536BB8">
        <w:trPr>
          <w:trHeight w:val="300"/>
        </w:trPr>
        <w:tc>
          <w:tcPr>
            <w:tcW w:w="1641" w:type="dxa"/>
            <w:vMerge/>
            <w:noWrap/>
            <w:hideMark/>
          </w:tcPr>
          <w:p w14:paraId="1B0D7C6C" w14:textId="17963E25" w:rsidR="008E6448" w:rsidRPr="008E6448" w:rsidRDefault="008E6448" w:rsidP="00333588">
            <w:pPr>
              <w:rPr>
                <w:color w:val="292574"/>
                <w:shd w:val="clear" w:color="auto" w:fill="FFFFFF"/>
              </w:rPr>
            </w:pPr>
          </w:p>
        </w:tc>
        <w:tc>
          <w:tcPr>
            <w:tcW w:w="900" w:type="dxa"/>
            <w:noWrap/>
            <w:hideMark/>
          </w:tcPr>
          <w:p w14:paraId="6F6AF67E" w14:textId="77777777" w:rsidR="008E6448" w:rsidRPr="008E6448" w:rsidRDefault="008E6448" w:rsidP="008E6448">
            <w:pPr>
              <w:rPr>
                <w:color w:val="292574"/>
                <w:shd w:val="clear" w:color="auto" w:fill="FFFFFF"/>
              </w:rPr>
            </w:pPr>
            <w:r w:rsidRPr="008E6448">
              <w:rPr>
                <w:color w:val="292574"/>
                <w:shd w:val="clear" w:color="auto" w:fill="FFFFFF"/>
              </w:rPr>
              <w:t>6</w:t>
            </w:r>
          </w:p>
        </w:tc>
        <w:tc>
          <w:tcPr>
            <w:tcW w:w="6810" w:type="dxa"/>
            <w:hideMark/>
          </w:tcPr>
          <w:p w14:paraId="757F245D" w14:textId="77777777" w:rsidR="008E6448" w:rsidRPr="008E6448" w:rsidRDefault="008E6448" w:rsidP="008E6448">
            <w:pPr>
              <w:rPr>
                <w:color w:val="292574"/>
                <w:shd w:val="clear" w:color="auto" w:fill="FFFFFF"/>
              </w:rPr>
            </w:pPr>
            <w:r w:rsidRPr="008E6448">
              <w:rPr>
                <w:color w:val="292574"/>
                <w:shd w:val="clear" w:color="auto" w:fill="FFFFFF"/>
              </w:rPr>
              <w:t>Matrices de vulnérabilité : croisement exposition et sensibilité par actif et par aléa</w:t>
            </w:r>
          </w:p>
        </w:tc>
        <w:tc>
          <w:tcPr>
            <w:tcW w:w="992" w:type="dxa"/>
            <w:vMerge/>
            <w:noWrap/>
            <w:hideMark/>
          </w:tcPr>
          <w:p w14:paraId="29A2EB43" w14:textId="0C3EBA13" w:rsidR="008E6448" w:rsidRPr="008E6448" w:rsidRDefault="008E6448" w:rsidP="00333588">
            <w:pPr>
              <w:rPr>
                <w:color w:val="292574"/>
                <w:shd w:val="clear" w:color="auto" w:fill="FFFFFF"/>
              </w:rPr>
            </w:pPr>
          </w:p>
        </w:tc>
      </w:tr>
      <w:tr w:rsidR="008E6448" w:rsidRPr="008E6448" w14:paraId="75E2B46D" w14:textId="77777777" w:rsidTr="00536BB8">
        <w:trPr>
          <w:trHeight w:val="300"/>
        </w:trPr>
        <w:tc>
          <w:tcPr>
            <w:tcW w:w="1641" w:type="dxa"/>
            <w:vMerge/>
            <w:noWrap/>
            <w:hideMark/>
          </w:tcPr>
          <w:p w14:paraId="4EEA6BB1" w14:textId="40DEBC94" w:rsidR="008E6448" w:rsidRPr="008E6448" w:rsidRDefault="008E6448" w:rsidP="00333588">
            <w:pPr>
              <w:rPr>
                <w:color w:val="292574"/>
                <w:shd w:val="clear" w:color="auto" w:fill="FFFFFF"/>
              </w:rPr>
            </w:pPr>
          </w:p>
        </w:tc>
        <w:tc>
          <w:tcPr>
            <w:tcW w:w="900" w:type="dxa"/>
            <w:noWrap/>
            <w:hideMark/>
          </w:tcPr>
          <w:p w14:paraId="12323241" w14:textId="77777777" w:rsidR="008E6448" w:rsidRPr="008E6448" w:rsidRDefault="008E6448" w:rsidP="008E6448">
            <w:pPr>
              <w:rPr>
                <w:color w:val="292574"/>
                <w:shd w:val="clear" w:color="auto" w:fill="FFFFFF"/>
              </w:rPr>
            </w:pPr>
            <w:r w:rsidRPr="008E6448">
              <w:rPr>
                <w:color w:val="292574"/>
                <w:shd w:val="clear" w:color="auto" w:fill="FFFFFF"/>
              </w:rPr>
              <w:t>7</w:t>
            </w:r>
          </w:p>
        </w:tc>
        <w:tc>
          <w:tcPr>
            <w:tcW w:w="6810" w:type="dxa"/>
            <w:hideMark/>
          </w:tcPr>
          <w:p w14:paraId="2ABEAFFF" w14:textId="77777777" w:rsidR="008E6448" w:rsidRPr="008E6448" w:rsidRDefault="008E6448" w:rsidP="008E6448">
            <w:pPr>
              <w:rPr>
                <w:color w:val="292574"/>
                <w:shd w:val="clear" w:color="auto" w:fill="FFFFFF"/>
              </w:rPr>
            </w:pPr>
            <w:r w:rsidRPr="008E6448">
              <w:rPr>
                <w:color w:val="292574"/>
                <w:shd w:val="clear" w:color="auto" w:fill="FFFFFF"/>
              </w:rPr>
              <w:t>Matrice de risque : croisement vulnérabilité et enjeux, hiérarchisation des niveaux de risque</w:t>
            </w:r>
          </w:p>
        </w:tc>
        <w:tc>
          <w:tcPr>
            <w:tcW w:w="992" w:type="dxa"/>
            <w:vMerge/>
            <w:noWrap/>
            <w:hideMark/>
          </w:tcPr>
          <w:p w14:paraId="70728EF1" w14:textId="09AC8F7A" w:rsidR="008E6448" w:rsidRPr="008E6448" w:rsidRDefault="008E6448" w:rsidP="00333588">
            <w:pPr>
              <w:rPr>
                <w:color w:val="292574"/>
                <w:shd w:val="clear" w:color="auto" w:fill="FFFFFF"/>
              </w:rPr>
            </w:pPr>
          </w:p>
        </w:tc>
      </w:tr>
      <w:tr w:rsidR="008E6448" w:rsidRPr="008E6448" w14:paraId="3950C50B" w14:textId="77777777" w:rsidTr="00536BB8">
        <w:trPr>
          <w:trHeight w:val="300"/>
        </w:trPr>
        <w:tc>
          <w:tcPr>
            <w:tcW w:w="1641" w:type="dxa"/>
            <w:vMerge/>
            <w:noWrap/>
            <w:hideMark/>
          </w:tcPr>
          <w:p w14:paraId="1530A3A0" w14:textId="36488EE2" w:rsidR="008E6448" w:rsidRPr="008E6448" w:rsidRDefault="008E6448">
            <w:pPr>
              <w:rPr>
                <w:color w:val="292574"/>
                <w:shd w:val="clear" w:color="auto" w:fill="FFFFFF"/>
              </w:rPr>
            </w:pPr>
          </w:p>
        </w:tc>
        <w:tc>
          <w:tcPr>
            <w:tcW w:w="900" w:type="dxa"/>
            <w:noWrap/>
            <w:hideMark/>
          </w:tcPr>
          <w:p w14:paraId="0601E581" w14:textId="77777777" w:rsidR="008E6448" w:rsidRPr="008E6448" w:rsidRDefault="008E6448" w:rsidP="008E6448">
            <w:pPr>
              <w:rPr>
                <w:color w:val="292574"/>
                <w:shd w:val="clear" w:color="auto" w:fill="FFFFFF"/>
              </w:rPr>
            </w:pPr>
            <w:r w:rsidRPr="008E6448">
              <w:rPr>
                <w:color w:val="292574"/>
                <w:shd w:val="clear" w:color="auto" w:fill="FFFFFF"/>
              </w:rPr>
              <w:t>7</w:t>
            </w:r>
          </w:p>
        </w:tc>
        <w:tc>
          <w:tcPr>
            <w:tcW w:w="6810" w:type="dxa"/>
            <w:hideMark/>
          </w:tcPr>
          <w:p w14:paraId="11CE3812" w14:textId="77777777" w:rsidR="008E6448" w:rsidRPr="008E6448" w:rsidRDefault="008E6448" w:rsidP="008E6448">
            <w:pPr>
              <w:rPr>
                <w:color w:val="292574"/>
                <w:shd w:val="clear" w:color="auto" w:fill="FFFFFF"/>
              </w:rPr>
            </w:pPr>
            <w:r w:rsidRPr="008E6448">
              <w:rPr>
                <w:color w:val="292574"/>
                <w:shd w:val="clear" w:color="auto" w:fill="FFFFFF"/>
              </w:rPr>
              <w:t>Tableur des impacts économiques : estimation des conséquences économiques par scénario et par actif</w:t>
            </w:r>
          </w:p>
        </w:tc>
        <w:tc>
          <w:tcPr>
            <w:tcW w:w="992" w:type="dxa"/>
            <w:vMerge/>
            <w:noWrap/>
            <w:hideMark/>
          </w:tcPr>
          <w:p w14:paraId="2F49B27A" w14:textId="23C38B90" w:rsidR="008E6448" w:rsidRPr="008E6448" w:rsidRDefault="008E6448">
            <w:pPr>
              <w:rPr>
                <w:color w:val="292574"/>
                <w:shd w:val="clear" w:color="auto" w:fill="FFFFFF"/>
              </w:rPr>
            </w:pPr>
          </w:p>
        </w:tc>
      </w:tr>
      <w:tr w:rsidR="008E6448" w:rsidRPr="008E6448" w14:paraId="12023EDA" w14:textId="77777777" w:rsidTr="00536BB8">
        <w:trPr>
          <w:trHeight w:val="300"/>
        </w:trPr>
        <w:tc>
          <w:tcPr>
            <w:tcW w:w="1641" w:type="dxa"/>
            <w:vMerge w:val="restart"/>
            <w:noWrap/>
            <w:hideMark/>
          </w:tcPr>
          <w:p w14:paraId="4BD5BD4C" w14:textId="77777777" w:rsidR="008E6448" w:rsidRPr="008E6448" w:rsidRDefault="008E6448">
            <w:pPr>
              <w:rPr>
                <w:color w:val="292574"/>
                <w:shd w:val="clear" w:color="auto" w:fill="FFFFFF"/>
              </w:rPr>
            </w:pPr>
            <w:r w:rsidRPr="008E6448">
              <w:rPr>
                <w:color w:val="292574"/>
                <w:shd w:val="clear" w:color="auto" w:fill="FFFFFF"/>
              </w:rPr>
              <w:t>Annexes</w:t>
            </w:r>
          </w:p>
          <w:p w14:paraId="6AA3FEDA" w14:textId="3F2BAA7B" w:rsidR="008E6448" w:rsidRPr="008E6448" w:rsidRDefault="008E6448" w:rsidP="00333588">
            <w:pPr>
              <w:rPr>
                <w:color w:val="292574"/>
                <w:shd w:val="clear" w:color="auto" w:fill="FFFFFF"/>
              </w:rPr>
            </w:pPr>
          </w:p>
        </w:tc>
        <w:tc>
          <w:tcPr>
            <w:tcW w:w="900" w:type="dxa"/>
            <w:noWrap/>
            <w:hideMark/>
          </w:tcPr>
          <w:p w14:paraId="3074D274" w14:textId="77777777" w:rsidR="008E6448" w:rsidRPr="008E6448" w:rsidRDefault="008E6448" w:rsidP="008E6448">
            <w:pPr>
              <w:rPr>
                <w:color w:val="292574"/>
                <w:shd w:val="clear" w:color="auto" w:fill="FFFFFF"/>
              </w:rPr>
            </w:pPr>
            <w:r w:rsidRPr="008E6448">
              <w:rPr>
                <w:color w:val="292574"/>
                <w:shd w:val="clear" w:color="auto" w:fill="FFFFFF"/>
              </w:rPr>
              <w:t>5</w:t>
            </w:r>
          </w:p>
        </w:tc>
        <w:tc>
          <w:tcPr>
            <w:tcW w:w="6810" w:type="dxa"/>
            <w:hideMark/>
          </w:tcPr>
          <w:p w14:paraId="0CBA7D24" w14:textId="77777777" w:rsidR="008E6448" w:rsidRPr="008E6448" w:rsidRDefault="008E6448" w:rsidP="008E6448">
            <w:pPr>
              <w:rPr>
                <w:color w:val="292574"/>
                <w:shd w:val="clear" w:color="auto" w:fill="FFFFFF"/>
              </w:rPr>
            </w:pPr>
            <w:r w:rsidRPr="008E6448">
              <w:rPr>
                <w:color w:val="292574"/>
                <w:shd w:val="clear" w:color="auto" w:fill="FFFFFF"/>
              </w:rPr>
              <w:t>Fiches synthétiques des actifs critiques : seuils, mécanismes d’impact, facteurs aggravants, interdépendances et criticité</w:t>
            </w:r>
          </w:p>
        </w:tc>
        <w:tc>
          <w:tcPr>
            <w:tcW w:w="992" w:type="dxa"/>
            <w:vMerge w:val="restart"/>
            <w:noWrap/>
            <w:hideMark/>
          </w:tcPr>
          <w:p w14:paraId="4826EAD6" w14:textId="1B362C85" w:rsidR="008E6448" w:rsidRPr="008E6448" w:rsidRDefault="008E6448">
            <w:pPr>
              <w:rPr>
                <w:color w:val="292574"/>
                <w:shd w:val="clear" w:color="auto" w:fill="FFFFFF"/>
              </w:rPr>
            </w:pPr>
            <w:r w:rsidRPr="008E6448">
              <w:rPr>
                <w:color w:val="292574"/>
                <w:shd w:val="clear" w:color="auto" w:fill="FFFFFF"/>
              </w:rPr>
              <w:t>PDF</w:t>
            </w:r>
            <w:r w:rsidR="00C704C8">
              <w:rPr>
                <w:color w:val="292574"/>
                <w:shd w:val="clear" w:color="auto" w:fill="FFFFFF"/>
              </w:rPr>
              <w:t xml:space="preserve"> + </w:t>
            </w:r>
            <w:r w:rsidR="00C97E42">
              <w:rPr>
                <w:color w:val="292574"/>
                <w:shd w:val="clear" w:color="auto" w:fill="FFFFFF"/>
              </w:rPr>
              <w:t>Word</w:t>
            </w:r>
          </w:p>
          <w:p w14:paraId="695F8F1D" w14:textId="74982094" w:rsidR="008E6448" w:rsidRPr="008E6448" w:rsidRDefault="008E6448" w:rsidP="00333588">
            <w:pPr>
              <w:rPr>
                <w:color w:val="292574"/>
                <w:shd w:val="clear" w:color="auto" w:fill="FFFFFF"/>
              </w:rPr>
            </w:pPr>
          </w:p>
        </w:tc>
      </w:tr>
      <w:tr w:rsidR="008E6448" w:rsidRPr="008E6448" w14:paraId="7A2254F5" w14:textId="77777777" w:rsidTr="00536BB8">
        <w:trPr>
          <w:trHeight w:val="300"/>
        </w:trPr>
        <w:tc>
          <w:tcPr>
            <w:tcW w:w="1641" w:type="dxa"/>
            <w:vMerge/>
            <w:noWrap/>
            <w:hideMark/>
          </w:tcPr>
          <w:p w14:paraId="7B31F993" w14:textId="68E24749" w:rsidR="008E6448" w:rsidRPr="008E6448" w:rsidRDefault="008E6448" w:rsidP="00333588">
            <w:pPr>
              <w:rPr>
                <w:color w:val="292574"/>
                <w:shd w:val="clear" w:color="auto" w:fill="FFFFFF"/>
              </w:rPr>
            </w:pPr>
          </w:p>
        </w:tc>
        <w:tc>
          <w:tcPr>
            <w:tcW w:w="900" w:type="dxa"/>
            <w:noWrap/>
            <w:hideMark/>
          </w:tcPr>
          <w:p w14:paraId="47406813" w14:textId="77777777" w:rsidR="008E6448" w:rsidRPr="008E6448" w:rsidRDefault="008E6448" w:rsidP="008E6448">
            <w:pPr>
              <w:rPr>
                <w:color w:val="292574"/>
                <w:shd w:val="clear" w:color="auto" w:fill="FFFFFF"/>
              </w:rPr>
            </w:pPr>
            <w:r w:rsidRPr="008E6448">
              <w:rPr>
                <w:color w:val="292574"/>
                <w:shd w:val="clear" w:color="auto" w:fill="FFFFFF"/>
              </w:rPr>
              <w:t>5</w:t>
            </w:r>
          </w:p>
        </w:tc>
        <w:tc>
          <w:tcPr>
            <w:tcW w:w="6810" w:type="dxa"/>
            <w:hideMark/>
          </w:tcPr>
          <w:p w14:paraId="0CE57B7E" w14:textId="77777777" w:rsidR="008E6448" w:rsidRPr="008E6448" w:rsidRDefault="008E6448" w:rsidP="008E6448">
            <w:pPr>
              <w:rPr>
                <w:color w:val="292574"/>
                <w:shd w:val="clear" w:color="auto" w:fill="FFFFFF"/>
              </w:rPr>
            </w:pPr>
            <w:r w:rsidRPr="008E6448">
              <w:rPr>
                <w:color w:val="292574"/>
                <w:shd w:val="clear" w:color="auto" w:fill="FFFFFF"/>
              </w:rPr>
              <w:t>Comptes rendus des ateliers et entretiens réalisés avec les experts et services concernés</w:t>
            </w:r>
          </w:p>
        </w:tc>
        <w:tc>
          <w:tcPr>
            <w:tcW w:w="992" w:type="dxa"/>
            <w:vMerge/>
            <w:noWrap/>
            <w:hideMark/>
          </w:tcPr>
          <w:p w14:paraId="5ABF5B67" w14:textId="6124498F" w:rsidR="008E6448" w:rsidRPr="008E6448" w:rsidRDefault="008E6448" w:rsidP="00333588">
            <w:pPr>
              <w:rPr>
                <w:color w:val="292574"/>
                <w:shd w:val="clear" w:color="auto" w:fill="FFFFFF"/>
              </w:rPr>
            </w:pPr>
          </w:p>
        </w:tc>
      </w:tr>
      <w:tr w:rsidR="008E6448" w:rsidRPr="008E6448" w14:paraId="7BD942A0" w14:textId="77777777" w:rsidTr="00536BB8">
        <w:trPr>
          <w:trHeight w:val="300"/>
        </w:trPr>
        <w:tc>
          <w:tcPr>
            <w:tcW w:w="1641" w:type="dxa"/>
            <w:vMerge/>
            <w:noWrap/>
            <w:hideMark/>
          </w:tcPr>
          <w:p w14:paraId="12223358" w14:textId="455B2DF2" w:rsidR="008E6448" w:rsidRPr="008E6448" w:rsidRDefault="008E6448">
            <w:pPr>
              <w:rPr>
                <w:color w:val="292574"/>
                <w:shd w:val="clear" w:color="auto" w:fill="FFFFFF"/>
              </w:rPr>
            </w:pPr>
          </w:p>
        </w:tc>
        <w:tc>
          <w:tcPr>
            <w:tcW w:w="900" w:type="dxa"/>
            <w:noWrap/>
            <w:hideMark/>
          </w:tcPr>
          <w:p w14:paraId="45185FA8" w14:textId="77777777" w:rsidR="008E6448" w:rsidRPr="008E6448" w:rsidRDefault="008E6448" w:rsidP="008E6448">
            <w:pPr>
              <w:rPr>
                <w:color w:val="292574"/>
                <w:shd w:val="clear" w:color="auto" w:fill="FFFFFF"/>
              </w:rPr>
            </w:pPr>
            <w:r w:rsidRPr="008E6448">
              <w:rPr>
                <w:color w:val="292574"/>
                <w:shd w:val="clear" w:color="auto" w:fill="FFFFFF"/>
              </w:rPr>
              <w:t>4</w:t>
            </w:r>
          </w:p>
        </w:tc>
        <w:tc>
          <w:tcPr>
            <w:tcW w:w="6810" w:type="dxa"/>
            <w:hideMark/>
          </w:tcPr>
          <w:p w14:paraId="531A7BB5" w14:textId="77777777" w:rsidR="008E6448" w:rsidRPr="008E6448" w:rsidRDefault="008E6448" w:rsidP="008E6448">
            <w:pPr>
              <w:rPr>
                <w:color w:val="292574"/>
                <w:shd w:val="clear" w:color="auto" w:fill="FFFFFF"/>
              </w:rPr>
            </w:pPr>
            <w:r w:rsidRPr="008E6448">
              <w:rPr>
                <w:color w:val="292574"/>
                <w:shd w:val="clear" w:color="auto" w:fill="FFFFFF"/>
              </w:rPr>
              <w:t>Synthèse des évolutions climatiques et des niveaux d’incertitude par aléa</w:t>
            </w:r>
          </w:p>
        </w:tc>
        <w:tc>
          <w:tcPr>
            <w:tcW w:w="992" w:type="dxa"/>
            <w:vMerge/>
            <w:noWrap/>
            <w:hideMark/>
          </w:tcPr>
          <w:p w14:paraId="3A08BA20" w14:textId="513AEEFC" w:rsidR="008E6448" w:rsidRPr="008E6448" w:rsidRDefault="008E6448">
            <w:pPr>
              <w:rPr>
                <w:color w:val="292574"/>
                <w:shd w:val="clear" w:color="auto" w:fill="FFFFFF"/>
              </w:rPr>
            </w:pPr>
          </w:p>
        </w:tc>
      </w:tr>
    </w:tbl>
    <w:p w14:paraId="7DD2B268" w14:textId="7963ED5D" w:rsidR="00BF4E58" w:rsidRDefault="00BF4E58" w:rsidP="008B1F62">
      <w:pPr>
        <w:rPr>
          <w:color w:val="292574"/>
          <w:shd w:val="clear" w:color="auto" w:fill="FFFFFF"/>
        </w:rPr>
      </w:pPr>
      <w:r>
        <w:rPr>
          <w:color w:val="292574"/>
          <w:shd w:val="clear" w:color="auto" w:fill="FFFFFF"/>
        </w:rPr>
        <w:br w:type="page"/>
      </w:r>
    </w:p>
    <w:p w14:paraId="17133DAA" w14:textId="77777777" w:rsidR="008B1F62" w:rsidRDefault="008B1F62" w:rsidP="00D33D11">
      <w:pPr>
        <w:pStyle w:val="Titre2"/>
        <w:rPr>
          <w:shd w:val="clear" w:color="auto" w:fill="FFFFFF"/>
        </w:rPr>
      </w:pPr>
      <w:bookmarkStart w:id="54" w:name="_Toc235518182"/>
      <w:r>
        <w:rPr>
          <w:shd w:val="clear" w:color="auto" w:fill="FFFFFF"/>
        </w:rPr>
        <w:lastRenderedPageBreak/>
        <w:t>Phase 4 – Élaboration des mesures d’adaptation et définition de la stratégie de résilience</w:t>
      </w:r>
      <w:bookmarkEnd w:id="54"/>
    </w:p>
    <w:p w14:paraId="58315C3A" w14:textId="7616BB52" w:rsidR="008B1F62" w:rsidRDefault="008B1F62" w:rsidP="008B1F62">
      <w:pPr>
        <w:rPr>
          <w:color w:val="292574"/>
          <w:shd w:val="clear" w:color="auto" w:fill="FFFFFF"/>
        </w:rPr>
      </w:pPr>
      <w:r>
        <w:rPr>
          <w:color w:val="292574"/>
          <w:shd w:val="clear" w:color="auto" w:fill="FFFFFF"/>
        </w:rPr>
        <w:t xml:space="preserve">(Regroupe les étapes </w:t>
      </w:r>
      <w:r w:rsidR="003525AB">
        <w:rPr>
          <w:color w:val="292574"/>
          <w:shd w:val="clear" w:color="auto" w:fill="FFFFFF"/>
        </w:rPr>
        <w:t>8,</w:t>
      </w:r>
      <w:r w:rsidR="00C97E42">
        <w:rPr>
          <w:color w:val="292574"/>
          <w:shd w:val="clear" w:color="auto" w:fill="FFFFFF"/>
        </w:rPr>
        <w:t xml:space="preserve"> </w:t>
      </w:r>
      <w:r>
        <w:rPr>
          <w:color w:val="292574"/>
          <w:shd w:val="clear" w:color="auto" w:fill="FFFFFF"/>
        </w:rPr>
        <w:t>9 </w:t>
      </w:r>
      <w:r w:rsidR="003525AB">
        <w:rPr>
          <w:color w:val="292574"/>
          <w:shd w:val="clear" w:color="auto" w:fill="FFFFFF"/>
        </w:rPr>
        <w:t xml:space="preserve">et </w:t>
      </w:r>
      <w:proofErr w:type="gramStart"/>
      <w:r w:rsidR="003525AB">
        <w:rPr>
          <w:color w:val="292574"/>
          <w:shd w:val="clear" w:color="auto" w:fill="FFFFFF"/>
        </w:rPr>
        <w:t>10</w:t>
      </w:r>
      <w:r>
        <w:rPr>
          <w:color w:val="292574"/>
          <w:shd w:val="clear" w:color="auto" w:fill="FFFFFF"/>
        </w:rPr>
        <w:t>:</w:t>
      </w:r>
      <w:proofErr w:type="gramEnd"/>
      <w:r>
        <w:rPr>
          <w:color w:val="292574"/>
          <w:shd w:val="clear" w:color="auto" w:fill="FFFFFF"/>
        </w:rPr>
        <w:t xml:space="preserve"> Identification des mesures d’adaptation et </w:t>
      </w:r>
      <w:r w:rsidR="003525AB">
        <w:t>Élaboration de la stratégie de résilience et du plan d'action</w:t>
      </w:r>
      <w:r>
        <w:rPr>
          <w:color w:val="292574"/>
          <w:shd w:val="clear" w:color="auto" w:fill="FFFFFF"/>
        </w:rPr>
        <w:t>)</w:t>
      </w:r>
    </w:p>
    <w:p w14:paraId="16CC2EFE" w14:textId="32337674" w:rsidR="00D33D11" w:rsidRDefault="00D33D11" w:rsidP="008B1F62">
      <w:pPr>
        <w:rPr>
          <w:color w:val="292574"/>
          <w:shd w:val="clear" w:color="auto" w:fill="FFFFFF"/>
        </w:rPr>
      </w:pPr>
    </w:p>
    <w:p w14:paraId="767C8BEF" w14:textId="77777777" w:rsidR="00D33D11" w:rsidRDefault="00D33D11" w:rsidP="00D33D11">
      <w:pPr>
        <w:pStyle w:val="Titre3"/>
      </w:pPr>
      <w:bookmarkStart w:id="55" w:name="_Toc135131477"/>
      <w:bookmarkStart w:id="56" w:name="_Toc134612639"/>
      <w:bookmarkStart w:id="57" w:name="_Toc131759582"/>
      <w:bookmarkStart w:id="58" w:name="_Toc235518183"/>
      <w:r>
        <w:t>Etape 8 : Identification des mesures d’adaptation</w:t>
      </w:r>
      <w:bookmarkEnd w:id="55"/>
      <w:bookmarkEnd w:id="56"/>
      <w:bookmarkEnd w:id="57"/>
      <w:bookmarkEnd w:id="58"/>
      <w:r>
        <w:t xml:space="preserve"> </w:t>
      </w:r>
    </w:p>
    <w:p w14:paraId="231157BF" w14:textId="3DF86F2D" w:rsidR="00D33D11" w:rsidRDefault="00D94B9C" w:rsidP="00D33D11">
      <w:r>
        <w:tab/>
      </w:r>
      <w:r w:rsidR="00D33D11">
        <w:t>Cette étape a pour objectif d’identifier</w:t>
      </w:r>
      <w:r w:rsidR="00D33D11">
        <w:rPr>
          <w:b/>
        </w:rPr>
        <w:t xml:space="preserve"> les mesures d’adaptation pertinentes pour répondre aux vulnérabilités et aux risques identifiés</w:t>
      </w:r>
      <w:r w:rsidR="00D33D11">
        <w:t xml:space="preserve"> dans les étapes précédentes. </w:t>
      </w:r>
      <w:r w:rsidR="004D6E0A">
        <w:t>Le processus</w:t>
      </w:r>
      <w:r w:rsidR="00D33D11">
        <w:t xml:space="preserve"> associ</w:t>
      </w:r>
      <w:r w:rsidR="004D6E0A">
        <w:t>e</w:t>
      </w:r>
      <w:r w:rsidR="00D33D11">
        <w:t xml:space="preserve"> largement le gestionnaire (et son AMO le Cerema).</w:t>
      </w:r>
    </w:p>
    <w:p w14:paraId="6999D59A" w14:textId="4DA4632A" w:rsidR="00727C11" w:rsidRDefault="00727C11" w:rsidP="00D33D11"/>
    <w:p w14:paraId="7ED281E5" w14:textId="55B28CF0" w:rsidR="00CC395B" w:rsidRPr="00C84C8F" w:rsidRDefault="00D94B9C" w:rsidP="00CC395B">
      <w:r>
        <w:tab/>
      </w:r>
      <w:r w:rsidR="00727C11">
        <w:t xml:space="preserve">Le prestataire réalisera un benchmark de solutions d’adaptation pour répondre </w:t>
      </w:r>
      <w:r w:rsidR="00660219">
        <w:t>aux vulnérabilités majeures</w:t>
      </w:r>
      <w:r w:rsidR="00727C11">
        <w:t xml:space="preserve"> identifiées dans le cadre de cette étude face à l’ensemble des aléas. Ce benchmark s’appuiera sur une recherche bibliographique ainsi que des échanges avec </w:t>
      </w:r>
      <w:r w:rsidR="00727C11" w:rsidRPr="00C84C8F">
        <w:t xml:space="preserve">d’autres gestionnaires portuaires de la zone caraïbe par exemple. </w:t>
      </w:r>
      <w:r w:rsidR="00CC395B" w:rsidRPr="00C84C8F">
        <w:t xml:space="preserve">Le prestataire devra entre autres consulter les études </w:t>
      </w:r>
      <w:proofErr w:type="spellStart"/>
      <w:r w:rsidR="00CC395B" w:rsidRPr="00C84C8F">
        <w:t>GuyaClimat</w:t>
      </w:r>
      <w:proofErr w:type="spellEnd"/>
      <w:r w:rsidR="00CC395B" w:rsidRPr="00C84C8F">
        <w:rPr>
          <w:rStyle w:val="Appelnotedebasdep"/>
        </w:rPr>
        <w:footnoteReference w:id="11"/>
      </w:r>
      <w:r w:rsidR="00CC395B" w:rsidRPr="00C84C8F">
        <w:t>, les travaux de l'</w:t>
      </w:r>
      <w:proofErr w:type="spellStart"/>
      <w:r w:rsidR="00CC395B" w:rsidRPr="00C84C8F">
        <w:t>AUDeG</w:t>
      </w:r>
      <w:proofErr w:type="spellEnd"/>
      <w:r w:rsidR="00CC395B" w:rsidRPr="00C84C8F">
        <w:rPr>
          <w:rStyle w:val="Appelnotedebasdep"/>
        </w:rPr>
        <w:footnoteReference w:id="12"/>
      </w:r>
      <w:r w:rsidR="00CC395B" w:rsidRPr="00C84C8F">
        <w:t xml:space="preserve"> et de l'Observatoire de la Dynamique Côtière de Guyane (</w:t>
      </w:r>
      <w:proofErr w:type="spellStart"/>
      <w:r w:rsidR="00CC395B" w:rsidRPr="00C84C8F">
        <w:t>ODyC</w:t>
      </w:r>
      <w:proofErr w:type="spellEnd"/>
      <w:r w:rsidR="00CC395B" w:rsidRPr="00C84C8F">
        <w:t>)</w:t>
      </w:r>
      <w:r w:rsidR="00CC395B" w:rsidRPr="00C84C8F">
        <w:rPr>
          <w:rStyle w:val="Appelnotedebasdep"/>
        </w:rPr>
        <w:footnoteReference w:id="13"/>
      </w:r>
      <w:r w:rsidR="00CC395B" w:rsidRPr="00C84C8F">
        <w:t>, les publications du Centre de ressources pour l'adaptation au changement climatique</w:t>
      </w:r>
      <w:r w:rsidR="00CC395B" w:rsidRPr="00C84C8F">
        <w:rPr>
          <w:rStyle w:val="Appelnotedebasdep"/>
        </w:rPr>
        <w:footnoteReference w:id="14"/>
      </w:r>
      <w:r w:rsidR="00CC395B" w:rsidRPr="00C84C8F">
        <w:t>, ainsi que les retours d'expérience du programme Life ARTISAN (OFB)</w:t>
      </w:r>
      <w:r w:rsidR="00CC395B" w:rsidRPr="00C84C8F">
        <w:rPr>
          <w:rStyle w:val="Appelnotedebasdep"/>
        </w:rPr>
        <w:footnoteReference w:id="15"/>
      </w:r>
      <w:r w:rsidR="00CC395B" w:rsidRPr="00C84C8F">
        <w:t xml:space="preserve"> et du projet ADAPTO</w:t>
      </w:r>
      <w:r w:rsidR="00CC395B" w:rsidRPr="00C84C8F">
        <w:rPr>
          <w:rStyle w:val="Appelnotedebasdep"/>
        </w:rPr>
        <w:footnoteReference w:id="16"/>
      </w:r>
      <w:r w:rsidR="000B23D7">
        <w:t xml:space="preserve"> ou encore de la plateforme</w:t>
      </w:r>
      <w:r w:rsidR="00296E14">
        <w:t xml:space="preserve"> </w:t>
      </w:r>
      <w:proofErr w:type="spellStart"/>
      <w:r w:rsidR="00CC395B" w:rsidRPr="00C84C8F">
        <w:t>Climate</w:t>
      </w:r>
      <w:proofErr w:type="spellEnd"/>
      <w:r w:rsidR="00CC395B" w:rsidRPr="00C84C8F">
        <w:t>-ADAPT de l'Agence Européenne pour l'Environnement pour les expériences caribéennes comparables</w:t>
      </w:r>
      <w:r w:rsidR="00CC395B" w:rsidRPr="00C84C8F">
        <w:rPr>
          <w:rStyle w:val="Appelnotedebasdep"/>
        </w:rPr>
        <w:footnoteReference w:id="17"/>
      </w:r>
      <w:r w:rsidR="00CC395B">
        <w:t>.</w:t>
      </w:r>
    </w:p>
    <w:p w14:paraId="367D2384" w14:textId="6CCE3416" w:rsidR="00727C11" w:rsidRPr="00C84C8F" w:rsidRDefault="00727C11" w:rsidP="00D33D11"/>
    <w:p w14:paraId="24F68FC3" w14:textId="77777777" w:rsidR="00727C11" w:rsidRDefault="00727C11" w:rsidP="00D33D11"/>
    <w:p w14:paraId="6B60010B" w14:textId="0CCDEFFD" w:rsidR="00D33D11" w:rsidRDefault="00BE3EEC" w:rsidP="00D33D11">
      <w:r>
        <w:tab/>
      </w:r>
      <w:r w:rsidR="00D33D11">
        <w:t>Ces mesures devront répondre à plusieurs critères :</w:t>
      </w:r>
    </w:p>
    <w:p w14:paraId="5D14E7D9" w14:textId="77777777" w:rsidR="00D33D11" w:rsidRDefault="00D33D11" w:rsidP="00E45AE5">
      <w:pPr>
        <w:pStyle w:val="Paragraphedeliste"/>
        <w:numPr>
          <w:ilvl w:val="0"/>
          <w:numId w:val="64"/>
        </w:numPr>
        <w:suppressAutoHyphens/>
        <w:spacing w:after="200" w:line="276" w:lineRule="auto"/>
      </w:pPr>
      <w:r>
        <w:t>Tout d’abord, répondre aux enjeux d’adaptation des infrastructures et des fonctionnalités retenues comme cadre de l’étude, pour des horizons temporels cohérents avec les besoins du gestionnaire et les scénarios considérés ;</w:t>
      </w:r>
    </w:p>
    <w:p w14:paraId="060F5C8F" w14:textId="77777777" w:rsidR="00D33D11" w:rsidRDefault="00D33D11" w:rsidP="00E45AE5">
      <w:pPr>
        <w:pStyle w:val="Paragraphedeliste"/>
        <w:numPr>
          <w:ilvl w:val="0"/>
          <w:numId w:val="64"/>
        </w:numPr>
        <w:suppressAutoHyphens/>
        <w:spacing w:after="200" w:line="276" w:lineRule="auto"/>
      </w:pPr>
      <w:r>
        <w:t xml:space="preserve">Ensuite, ces mesures doivent être en adéquation avec les capacités du gestionnaire à les mettre en œuvre, et les maintenir dans la durée ; Elles devront correspondre au niveau de technicité disponible (ou anticipé si celui-ci peut évoluer) chez le gestionnaire ou ses sous-traitants éventuels, ainsi qu’aux budgets qu’il est en capacité de mobiliser dans le cadre du déploiement de sa stratégie d’adaptation. </w:t>
      </w:r>
    </w:p>
    <w:p w14:paraId="165E7C92" w14:textId="77777777" w:rsidR="00D33D11" w:rsidRDefault="00D33D11" w:rsidP="00E45AE5">
      <w:pPr>
        <w:pStyle w:val="Paragraphedeliste"/>
        <w:numPr>
          <w:ilvl w:val="0"/>
          <w:numId w:val="64"/>
        </w:numPr>
        <w:suppressAutoHyphens/>
        <w:spacing w:after="200" w:line="276" w:lineRule="auto"/>
      </w:pPr>
      <w:r>
        <w:t>Elles doivent être réalistes et applicables par le gestionnaire, au regard par exemple de la disponibilité des matériaux nécessaires à proximité, ou d’entreprises susceptibles de les mettre en œuvre ;</w:t>
      </w:r>
    </w:p>
    <w:p w14:paraId="41DD9D5E" w14:textId="1B04FDF2" w:rsidR="00D33D11" w:rsidRDefault="00D33D11" w:rsidP="00E45AE5">
      <w:pPr>
        <w:pStyle w:val="Paragraphedeliste"/>
        <w:numPr>
          <w:ilvl w:val="0"/>
          <w:numId w:val="64"/>
        </w:numPr>
        <w:suppressAutoHyphens/>
        <w:spacing w:after="200" w:line="276" w:lineRule="auto"/>
        <w:rPr>
          <w:i/>
          <w:iCs/>
        </w:rPr>
      </w:pPr>
      <w:r>
        <w:t>Elles doivent être compatibles avec les autres stratégies du Port</w:t>
      </w:r>
      <w:r w:rsidR="00660219">
        <w:t xml:space="preserve"> </w:t>
      </w:r>
      <w:r>
        <w:t>;</w:t>
      </w:r>
    </w:p>
    <w:p w14:paraId="6DEAFF0E" w14:textId="77777777" w:rsidR="00D33D11" w:rsidRDefault="00D33D11" w:rsidP="00E45AE5">
      <w:pPr>
        <w:pStyle w:val="Paragraphedeliste"/>
        <w:numPr>
          <w:ilvl w:val="0"/>
          <w:numId w:val="64"/>
        </w:numPr>
        <w:suppressAutoHyphens/>
        <w:spacing w:after="200" w:line="276" w:lineRule="auto"/>
        <w:rPr>
          <w:i/>
          <w:iCs/>
        </w:rPr>
      </w:pPr>
      <w:r>
        <w:t>Les solutions multifonctionnelles permettant de répondre à d’autres objectifs en plus de la résilience du port et du territoire seront privilégiées (solutions fondées sur la nature, aménagements paysagers, améliorant la qualité d’usage, lutte contre les îlots de chaleur…).</w:t>
      </w:r>
    </w:p>
    <w:p w14:paraId="6B47A91B" w14:textId="6C8D8902" w:rsidR="00D33D11" w:rsidRDefault="00BE3EEC" w:rsidP="00D33D11">
      <w:r>
        <w:tab/>
      </w:r>
      <w:r w:rsidR="00D33D11">
        <w:t>Ces mesures, dans le cadre de l’adaptation d’infrastructures ou de sites industriels, peuvent être de différentes nature :</w:t>
      </w:r>
    </w:p>
    <w:p w14:paraId="372F55BD" w14:textId="15CFBCBE" w:rsidR="00D33D11" w:rsidRDefault="00D33D11" w:rsidP="00E45AE5">
      <w:pPr>
        <w:pStyle w:val="Paragraphedeliste"/>
        <w:numPr>
          <w:ilvl w:val="0"/>
          <w:numId w:val="36"/>
        </w:numPr>
        <w:suppressAutoHyphens/>
        <w:spacing w:after="200" w:line="276" w:lineRule="auto"/>
      </w:pPr>
      <w:r>
        <w:t xml:space="preserve">Des mesures liées au territoire dans son ensemble (hors compétence </w:t>
      </w:r>
      <w:r w:rsidR="00727C11">
        <w:t>GPMG</w:t>
      </w:r>
      <w:r>
        <w:t xml:space="preserve">) ; </w:t>
      </w:r>
    </w:p>
    <w:p w14:paraId="2DF900EA" w14:textId="77777777" w:rsidR="00D33D11" w:rsidRDefault="00D33D11" w:rsidP="00E45AE5">
      <w:pPr>
        <w:pStyle w:val="Paragraphedeliste"/>
        <w:numPr>
          <w:ilvl w:val="0"/>
          <w:numId w:val="36"/>
        </w:numPr>
        <w:suppressAutoHyphens/>
        <w:spacing w:after="200" w:line="276" w:lineRule="auto"/>
      </w:pPr>
      <w:r>
        <w:t xml:space="preserve">Des mesures d’adaptation des aménagements dans la dimension d’urbanisme du port tels que les espaces bâtis, non bâtis, les espaces maritimes ; </w:t>
      </w:r>
    </w:p>
    <w:p w14:paraId="44A4CEE6" w14:textId="77777777" w:rsidR="00D33D11" w:rsidRDefault="00D33D11" w:rsidP="00E45AE5">
      <w:pPr>
        <w:pStyle w:val="Paragraphedeliste"/>
        <w:numPr>
          <w:ilvl w:val="0"/>
          <w:numId w:val="36"/>
        </w:numPr>
        <w:suppressAutoHyphens/>
        <w:spacing w:after="200" w:line="276" w:lineRule="auto"/>
      </w:pPr>
      <w:r>
        <w:lastRenderedPageBreak/>
        <w:t xml:space="preserve">Des mesures liées à l’infrastructure elle-même : redimensionnement d’ouvrages, mise en place de structures de protection/confortement, doublement d’une infrastructure stratégique… ; </w:t>
      </w:r>
    </w:p>
    <w:p w14:paraId="01A228BF" w14:textId="77777777" w:rsidR="00D33D11" w:rsidRDefault="00D33D11" w:rsidP="00E45AE5">
      <w:pPr>
        <w:pStyle w:val="Paragraphedeliste"/>
        <w:numPr>
          <w:ilvl w:val="0"/>
          <w:numId w:val="36"/>
        </w:numPr>
        <w:suppressAutoHyphens/>
        <w:spacing w:after="200" w:line="276" w:lineRule="auto"/>
      </w:pPr>
      <w:r>
        <w:t xml:space="preserve">Des mesures liées à l’exploitation : mise en place de technologies numériques pour l’aide à la décision, changement des pratiques… ; </w:t>
      </w:r>
    </w:p>
    <w:p w14:paraId="4501DD09" w14:textId="77777777" w:rsidR="00D33D11" w:rsidRDefault="00D33D11" w:rsidP="00E45AE5">
      <w:pPr>
        <w:pStyle w:val="Paragraphedeliste"/>
        <w:numPr>
          <w:ilvl w:val="0"/>
          <w:numId w:val="36"/>
        </w:numPr>
        <w:suppressAutoHyphens/>
        <w:spacing w:after="200" w:line="276" w:lineRule="auto"/>
      </w:pPr>
      <w:r>
        <w:t xml:space="preserve">Des mesures liées à la maintenance : changement de périodicité, modification des routines, renforcement des contrôles… ; </w:t>
      </w:r>
    </w:p>
    <w:p w14:paraId="73897E34" w14:textId="77777777" w:rsidR="00D33D11" w:rsidRDefault="00D33D11" w:rsidP="00E45AE5">
      <w:pPr>
        <w:pStyle w:val="Paragraphedeliste"/>
        <w:numPr>
          <w:ilvl w:val="0"/>
          <w:numId w:val="36"/>
        </w:numPr>
        <w:suppressAutoHyphens/>
        <w:spacing w:after="200" w:line="276" w:lineRule="auto"/>
      </w:pPr>
      <w:r>
        <w:t>Des mesures liées à la planification : intégration du changement climatique dans certains processus de décision, augmentation des budgets, anticipation ou report de certains travaux…</w:t>
      </w:r>
    </w:p>
    <w:p w14:paraId="7CBB97AF" w14:textId="537C83DE" w:rsidR="00D33D11" w:rsidRDefault="00BE3EEC" w:rsidP="00D33D11">
      <w:r>
        <w:tab/>
      </w:r>
      <w:r w:rsidR="00D33D11">
        <w:t xml:space="preserve">Les mesures proposées seront regroupées selon des axes stratégiques d’intervention qui permettent d’identifier les vulnérabilités du </w:t>
      </w:r>
      <w:r w:rsidR="00727C11">
        <w:t>GPMG</w:t>
      </w:r>
      <w:r w:rsidR="00D33D11">
        <w:t xml:space="preserve"> à traiter dans sa stratégie de résilience.</w:t>
      </w:r>
    </w:p>
    <w:p w14:paraId="09E26D2E" w14:textId="77777777" w:rsidR="00BE3EEC" w:rsidRDefault="00BE3EEC" w:rsidP="00BD0282"/>
    <w:p w14:paraId="4A778095" w14:textId="4E833A54" w:rsidR="00BD0282" w:rsidRDefault="00BE3EEC" w:rsidP="00BD0282">
      <w:r>
        <w:tab/>
      </w:r>
      <w:r w:rsidR="00BD0282">
        <w:t>Le prestataire intégrera pleinement l’articulation entre adaptation et atténuation dans l’identification et l’évaluation des mesures. Pour chaque mesure proposée, il devra :</w:t>
      </w:r>
    </w:p>
    <w:p w14:paraId="658CADD1" w14:textId="561E9DC9" w:rsidR="00BD0282" w:rsidRDefault="00BD0282" w:rsidP="00E45AE5">
      <w:pPr>
        <w:pStyle w:val="Paragraphedeliste"/>
        <w:numPr>
          <w:ilvl w:val="0"/>
          <w:numId w:val="65"/>
        </w:numPr>
      </w:pPr>
      <w:r>
        <w:t xml:space="preserve">Identifier les </w:t>
      </w:r>
      <w:proofErr w:type="spellStart"/>
      <w:r>
        <w:t>co</w:t>
      </w:r>
      <w:proofErr w:type="spellEnd"/>
      <w:r>
        <w:t>-bénéfices en termes de réduction des émissions de GES, de séquestration carbone, d’efficacité énergétique ou de circularité des matériaux ;</w:t>
      </w:r>
    </w:p>
    <w:p w14:paraId="60F51506" w14:textId="360AA0E8" w:rsidR="00BD0282" w:rsidRDefault="00BD0282" w:rsidP="00E45AE5">
      <w:pPr>
        <w:pStyle w:val="Paragraphedeliste"/>
        <w:numPr>
          <w:ilvl w:val="0"/>
          <w:numId w:val="65"/>
        </w:numPr>
      </w:pPr>
      <w:r>
        <w:t>Évaluer la contribution de la mesure à la trajectoire de décarbonation du GPMG et à la mise en œuvre du Projet Stratégique 2024-2028 ;</w:t>
      </w:r>
    </w:p>
    <w:p w14:paraId="353468D0" w14:textId="2F10AD90" w:rsidR="00BD0282" w:rsidRDefault="00BD0282" w:rsidP="00E45AE5">
      <w:pPr>
        <w:pStyle w:val="Paragraphedeliste"/>
        <w:numPr>
          <w:ilvl w:val="0"/>
          <w:numId w:val="65"/>
        </w:numPr>
      </w:pPr>
      <w:r>
        <w:t>Préciser les éventuels antagonismes (ex. : surcoût initial, conflit d’usage) et proposer des solutions d’arbitrage ;</w:t>
      </w:r>
    </w:p>
    <w:p w14:paraId="18EDE77D" w14:textId="49B99BBF" w:rsidR="00BD0282" w:rsidRDefault="00BD0282" w:rsidP="00E45AE5">
      <w:pPr>
        <w:pStyle w:val="Paragraphedeliste"/>
        <w:numPr>
          <w:ilvl w:val="0"/>
          <w:numId w:val="65"/>
        </w:numPr>
      </w:pPr>
      <w:r>
        <w:t xml:space="preserve">Quantifier, dans la mesure du possible, les ordres de grandeur des </w:t>
      </w:r>
      <w:proofErr w:type="spellStart"/>
      <w:r>
        <w:t>co</w:t>
      </w:r>
      <w:proofErr w:type="spellEnd"/>
      <w:r>
        <w:t xml:space="preserve">-bénéfices (ex. : </w:t>
      </w:r>
      <w:proofErr w:type="spellStart"/>
      <w:r>
        <w:t>t</w:t>
      </w:r>
      <w:r w:rsidRPr="006D381A">
        <w:rPr>
          <w:sz w:val="18"/>
          <w:szCs w:val="18"/>
        </w:rPr>
        <w:t>CO</w:t>
      </w:r>
      <w:r w:rsidRPr="006D381A">
        <w:rPr>
          <w:rFonts w:ascii="Cambria Math" w:hAnsi="Cambria Math" w:cs="Cambria Math"/>
          <w:sz w:val="18"/>
          <w:szCs w:val="18"/>
        </w:rPr>
        <w:t>₂</w:t>
      </w:r>
      <w:r>
        <w:t>e</w:t>
      </w:r>
      <w:proofErr w:type="spellEnd"/>
      <w:r>
        <w:t xml:space="preserve"> </w:t>
      </w:r>
      <w:r w:rsidRPr="006D381A">
        <w:rPr>
          <w:rFonts w:cs="Arial"/>
        </w:rPr>
        <w:t>é</w:t>
      </w:r>
      <w:r>
        <w:t>vit</w:t>
      </w:r>
      <w:r w:rsidRPr="006D381A">
        <w:rPr>
          <w:rFonts w:cs="Arial"/>
        </w:rPr>
        <w:t>é</w:t>
      </w:r>
      <w:r>
        <w:t>es par an).</w:t>
      </w:r>
    </w:p>
    <w:p w14:paraId="5E3BCC20" w14:textId="77777777" w:rsidR="00727C11" w:rsidRDefault="00727C11" w:rsidP="00D33D11"/>
    <w:p w14:paraId="4DA6A8F6" w14:textId="7025226A" w:rsidR="00BD0282" w:rsidRDefault="00BE3EEC" w:rsidP="00D33D11">
      <w:r>
        <w:tab/>
      </w:r>
      <w:r w:rsidR="00BD0282" w:rsidRPr="00BD0282">
        <w:t>Ces éléments seront obligatoirement intégrés dans les fiches-mesures selon le modèle fourni en Annexe et seront pris en compte dans l’analyse coût-efficacité ainsi que dans l’analyse multicritère finale.</w:t>
      </w:r>
    </w:p>
    <w:p w14:paraId="37B73FD9" w14:textId="77777777" w:rsidR="00BD0282" w:rsidRDefault="00BD0282" w:rsidP="00D33D11"/>
    <w:p w14:paraId="43B70C16" w14:textId="7098DD6E" w:rsidR="00D33D11" w:rsidRDefault="006D381A" w:rsidP="00D33D11">
      <w:r>
        <w:tab/>
      </w:r>
      <w:r w:rsidR="00D33D11">
        <w:t>Chaque mesure d’adaptation proposée sera décrite et évaluée dans une fiche technique comprenant a minima la nature de l’action, l’entité maitre d’ouvrage, une estimation de son coût, les bénéfices attendus (intérêt économique de la mesure dans une approche coûts/bénéfices, bénéfices qualitatifs en matière de résilience ou pour d’autres objectifs stratégiques du port, tels que réduction des GES par exemple), la description et la nature de chaque étape de réalisation (de l’étude à la phase opérationnelle) avec un calendrier prévisionnel de mise en œuvre.</w:t>
      </w:r>
    </w:p>
    <w:p w14:paraId="1A92DCAF" w14:textId="0F28E1F8" w:rsidR="005A46FE" w:rsidRDefault="005A46FE" w:rsidP="00D33D11"/>
    <w:p w14:paraId="2E71AA02" w14:textId="5B7B2923" w:rsidR="005A46FE" w:rsidRDefault="006D381A" w:rsidP="00D33D11">
      <w:r>
        <w:tab/>
      </w:r>
      <w:r w:rsidR="005A46FE">
        <w:t xml:space="preserve">Le prestataire est encouragé à réaliser des entretiens avec des gestionnaires </w:t>
      </w:r>
      <w:r>
        <w:t xml:space="preserve">portuaires </w:t>
      </w:r>
      <w:r w:rsidR="005A46FE">
        <w:t xml:space="preserve">qui auraient mis en œuvre des solutions d’adaptation pertinentes. Ces interviews permettront d’interroger les gestionnaires concernés sur les caractéristiques de la solution, les avantages et limites ou freins de réalisation et les coûts. En particulier, le prestataire est invité à réaliser au moins un entretien avec un gestionnaire portuaire étranger faisant régulièrement face à des températures élevées et des vagues de chaleur. Dans son mémoire technique en réponse à </w:t>
      </w:r>
      <w:r w:rsidR="004D7F3C">
        <w:t>l’appel d</w:t>
      </w:r>
      <w:r w:rsidR="005A46FE">
        <w:t>’offre</w:t>
      </w:r>
      <w:r w:rsidR="004D7F3C">
        <w:t>, le candidat pourra indiquer s’il dispose de contacts privilégiés pour mener ces entretiens, en particulier pour le retour d’expérience étranger sur les solutions d’adaptation aux fortes chaleurs.</w:t>
      </w:r>
    </w:p>
    <w:p w14:paraId="4FDCCBDC" w14:textId="5472B1CD" w:rsidR="005A46FE" w:rsidRDefault="005A46FE" w:rsidP="00D33D11"/>
    <w:p w14:paraId="01698410" w14:textId="1CDA4865" w:rsidR="00151CCA" w:rsidRDefault="00151CCA" w:rsidP="00151CCA">
      <w:r>
        <w:tab/>
        <w:t>Cette approche implique de mobiliser des outils tels que le plan de continuité d’activité (PCA), les stress tests financiers, la prévention des risques stratégiques, mais aussi de s’appuyer sur une vision stratégique à long terme, nourrie par l’innovation, la conduite du changement et l’anticipation des évolutions structurelles. Il s’agit de préparer le port à faire face aux incertitudes à venir tout en orientant ses choix vers des trajectoires de développement adaptées et responsables.</w:t>
      </w:r>
    </w:p>
    <w:p w14:paraId="47FC0C17" w14:textId="77777777" w:rsidR="00151CCA" w:rsidRDefault="00151CCA" w:rsidP="00151CCA"/>
    <w:p w14:paraId="74E9A52C" w14:textId="75BBDCA6" w:rsidR="005A46FE" w:rsidRDefault="00151CCA" w:rsidP="00D33D11">
      <w:pPr>
        <w:rPr>
          <w:rStyle w:val="Accentuationintense"/>
          <w:i w:val="0"/>
          <w:iCs w:val="0"/>
          <w:color w:val="auto"/>
        </w:rPr>
      </w:pPr>
      <w:r>
        <w:tab/>
        <w:t>On rappelle que le « mur d’investissement » peut être évité au Grand Port Maritime de Guyane grâce à des infrastructures récentes, déjà dimensionnées en tenant compte des effets du changement climatique. Cette situation constitue une opportunité stratégique pour planifier les réalisations futures de manière progressive, en adéquation avec les capacités financières disponibles. Il s’agira de faire les bons choix pour répondre aux besoins du territoire, tout en construisant des infrastructures et des projets porteurs de sens, en cohérence avec les ambitions de résilience à horizon 2050, notamment en matière de surveillance et de suivi des transformations engagées.</w:t>
      </w:r>
    </w:p>
    <w:p w14:paraId="6057770A" w14:textId="77777777" w:rsidR="00D33D11" w:rsidRDefault="00D33D11" w:rsidP="00D33D11">
      <w:pPr>
        <w:pStyle w:val="NormalNoir"/>
        <w:pBdr>
          <w:top w:val="single" w:sz="4" w:space="1" w:color="000000"/>
          <w:left w:val="single" w:sz="4" w:space="4" w:color="000000"/>
          <w:bottom w:val="single" w:sz="4" w:space="1" w:color="000000"/>
          <w:right w:val="single" w:sz="4" w:space="4" w:color="000000"/>
        </w:pBdr>
        <w:jc w:val="center"/>
        <w:rPr>
          <w:color w:val="auto"/>
        </w:rPr>
      </w:pPr>
      <w:r>
        <w:rPr>
          <w:color w:val="auto"/>
        </w:rPr>
        <w:lastRenderedPageBreak/>
        <w:t>Livrables</w:t>
      </w:r>
    </w:p>
    <w:p w14:paraId="167EACAD" w14:textId="77777777" w:rsidR="00D33D11" w:rsidRDefault="00D33D11" w:rsidP="00D33D11">
      <w:r>
        <w:t>Pour cette étape, le rapport comprendra :</w:t>
      </w:r>
    </w:p>
    <w:p w14:paraId="5CC815E9" w14:textId="77777777" w:rsidR="00AE208E" w:rsidRDefault="00AE208E" w:rsidP="00AE208E">
      <w:pPr>
        <w:pStyle w:val="Paragraphedeliste"/>
        <w:numPr>
          <w:ilvl w:val="0"/>
          <w:numId w:val="66"/>
        </w:numPr>
        <w:suppressAutoHyphens/>
        <w:spacing w:after="200" w:line="276" w:lineRule="auto"/>
      </w:pPr>
      <w:r>
        <w:t>Une présentation des axes stratégiques d'intervention proposés, structurant l'ensemble des mesures d'adaptation ;</w:t>
      </w:r>
    </w:p>
    <w:p w14:paraId="2D8F9399" w14:textId="77777777" w:rsidR="002640E5" w:rsidRDefault="00AE208E" w:rsidP="00C97E42">
      <w:pPr>
        <w:pStyle w:val="Paragraphedeliste"/>
        <w:numPr>
          <w:ilvl w:val="0"/>
          <w:numId w:val="66"/>
        </w:numPr>
        <w:suppressAutoHyphens/>
        <w:spacing w:after="200" w:line="276" w:lineRule="auto"/>
      </w:pPr>
      <w:r>
        <w:t>Un panel de mesures d'adaptation, classé par typologie (infrastructures, exploitation, maintenance, planification), présenté sous forme de tableur de synthèse, chaque mesure étant détaillée dans une fiche technique dédiée (aléa, impact traité, description technique, avantages/inconvénients notamment en matière de mise en œuvre et d'entretien, ordres de grandeur si possible, compléments/études encore nécessaires, éléments issus du benchmark et des entretiens réalisés — dont un niveau de détail renforcé sur les solutions fortes chaleurs) ;</w:t>
      </w:r>
    </w:p>
    <w:p w14:paraId="43DC4611" w14:textId="39FD9E28" w:rsidR="002640E5" w:rsidRDefault="00AE208E" w:rsidP="002640E5">
      <w:pPr>
        <w:pStyle w:val="Paragraphedeliste"/>
        <w:numPr>
          <w:ilvl w:val="0"/>
          <w:numId w:val="66"/>
        </w:numPr>
        <w:suppressAutoHyphens/>
        <w:spacing w:after="200" w:line="276" w:lineRule="auto"/>
      </w:pPr>
      <w:r>
        <w:t>Une matrice d'analyse multicritère (efficacité, coût, faisabilité, acceptabilité, synergies adaptation/atténuation, délai de mise en œuvre), avec pondération proposée par le prestataire, permettant la priorisation des solutions.</w:t>
      </w:r>
      <w:r w:rsidR="00C97E42" w:rsidDel="00C97E42">
        <w:t xml:space="preserve"> </w:t>
      </w:r>
    </w:p>
    <w:p w14:paraId="51A93202" w14:textId="1A651CC6" w:rsidR="002640E5" w:rsidRDefault="002640E5" w:rsidP="002640E5">
      <w:pPr>
        <w:pStyle w:val="Paragraphedeliste"/>
        <w:suppressAutoHyphens/>
        <w:spacing w:after="200" w:line="276" w:lineRule="auto"/>
      </w:pPr>
    </w:p>
    <w:p w14:paraId="340D899C" w14:textId="77777777" w:rsidR="002640E5" w:rsidRDefault="002640E5" w:rsidP="002640E5">
      <w:pPr>
        <w:pStyle w:val="Paragraphedeliste"/>
        <w:suppressAutoHyphens/>
        <w:spacing w:after="200" w:line="276" w:lineRule="auto"/>
      </w:pPr>
    </w:p>
    <w:p w14:paraId="5FA8DB75" w14:textId="5FDFADD1" w:rsidR="00D33D11" w:rsidRDefault="002640E5" w:rsidP="002640E5">
      <w:pPr>
        <w:pStyle w:val="Titre3"/>
      </w:pPr>
      <w:r>
        <w:t xml:space="preserve"> </w:t>
      </w:r>
      <w:bookmarkStart w:id="59" w:name="_Toc235518184"/>
      <w:r w:rsidR="00096B02">
        <w:t>Etape</w:t>
      </w:r>
      <w:r>
        <w:t>s</w:t>
      </w:r>
      <w:r w:rsidR="00096B02">
        <w:t xml:space="preserve"> 9 et </w:t>
      </w:r>
      <w:proofErr w:type="gramStart"/>
      <w:r w:rsidR="00096B02">
        <w:t>10:</w:t>
      </w:r>
      <w:proofErr w:type="gramEnd"/>
      <w:r w:rsidR="00096B02">
        <w:t xml:space="preserve"> Elaboration de la stratégie de résilience et du plan d'action</w:t>
      </w:r>
      <w:bookmarkEnd w:id="59"/>
    </w:p>
    <w:p w14:paraId="6BF7F0AB" w14:textId="5ADEF2DA" w:rsidR="00D33D11" w:rsidRDefault="006D381A" w:rsidP="00D33D11">
      <w:r>
        <w:tab/>
      </w:r>
    </w:p>
    <w:p w14:paraId="167D8E75" w14:textId="558A6CD5" w:rsidR="0014655C" w:rsidRDefault="0014655C" w:rsidP="00D33D11">
      <w:r>
        <w:tab/>
      </w:r>
      <w:r w:rsidR="00893333" w:rsidRPr="00893333">
        <w:t>Le prestataire proposera un Plan d’Action de résilience opérationnel, structuré par horizon temporel et directement articulé avec les six objectifs prioritaires du Grand Port Maritime de Guyane.</w:t>
      </w:r>
      <w:r w:rsidR="00893333">
        <w:t xml:space="preserve"> </w:t>
      </w:r>
      <w:r w:rsidR="00096B02">
        <w:t xml:space="preserve">A cette fin, le prestataire priorisera les mesures d'adaptation issues de l'analyse multicritère (étape 8) sur la base de leur criticité, de leur urgence, de leur rapport coût/efficacité et de leurs synergies adaptation/atténuation. </w:t>
      </w:r>
    </w:p>
    <w:p w14:paraId="4803D816" w14:textId="5F345FA2" w:rsidR="0014655C" w:rsidRDefault="0014655C" w:rsidP="00C97E42">
      <w:r>
        <w:tab/>
      </w:r>
      <w:r w:rsidR="00096B02">
        <w:t xml:space="preserve">Pour chaque action retenue, le prestataire proposera un contenu détaillé permettant sa mise en œuvre opérationnelle par le GPMG. Le plan d'action ainsi élaboré devra impérativement s'articuler </w:t>
      </w:r>
      <w:r w:rsidR="00893333">
        <w:t>et s’intégrer aux</w:t>
      </w:r>
      <w:r w:rsidR="00096B02">
        <w:t xml:space="preserve"> autres démarches stratégiques et outils de planification existants ou en cours au sein du GPMG</w:t>
      </w:r>
      <w:r w:rsidR="00893333">
        <w:t xml:space="preserve"> et du territoire</w:t>
      </w:r>
      <w:r w:rsidR="00096B02">
        <w:t xml:space="preserve">, notamment </w:t>
      </w:r>
      <w:r w:rsidR="00893333">
        <w:t xml:space="preserve">à travers le Plan de Continuité d’Activité global (PCA) et le Projet </w:t>
      </w:r>
      <w:r w:rsidR="009E2C04">
        <w:t>Stratégique</w:t>
      </w:r>
      <w:r w:rsidR="00893333">
        <w:t xml:space="preserve"> du GPMG.</w:t>
      </w:r>
      <w:r w:rsidR="00096B02">
        <w:t xml:space="preserve"> </w:t>
      </w:r>
    </w:p>
    <w:p w14:paraId="73F2E9A7" w14:textId="77777777" w:rsidR="00370778" w:rsidRDefault="0014655C" w:rsidP="00D33D11">
      <w:r>
        <w:tab/>
      </w:r>
      <w:r w:rsidR="00096B02">
        <w:t xml:space="preserve">Dans la mesure du possible, le prestataire identifiera et proposera des pistes de financement mobilisables pour la mise en œuvre des actions du plan (financements nationaux, européens, fonds dédiés à l'adaptation au changement climatique, cofinancements territoriaux), sans que cette identification ne constitue une garantie d'obtention desdits financements. </w:t>
      </w:r>
    </w:p>
    <w:p w14:paraId="543B94C6" w14:textId="77777777" w:rsidR="00370778" w:rsidRDefault="00370778" w:rsidP="00D33D11"/>
    <w:p w14:paraId="568523CB" w14:textId="77777777" w:rsidR="00370778" w:rsidRPr="00370778" w:rsidRDefault="00096B02" w:rsidP="00D33D11">
      <w:pPr>
        <w:rPr>
          <w:b/>
          <w:bCs/>
        </w:rPr>
      </w:pPr>
      <w:r w:rsidRPr="00370778">
        <w:rPr>
          <w:b/>
          <w:bCs/>
        </w:rPr>
        <w:t xml:space="preserve">Ateliers de coproduction avec le GPMG </w:t>
      </w:r>
    </w:p>
    <w:p w14:paraId="7BA25308" w14:textId="77777777" w:rsidR="00370778" w:rsidRDefault="00096B02" w:rsidP="00D33D11">
      <w:r>
        <w:t xml:space="preserve">Afin de garantir la cohérence du plan d'action avec la stratégie générale du port et son appropriation par les équipes du GPMG, le prestataire organisera </w:t>
      </w:r>
      <w:r w:rsidR="00370778">
        <w:t>des</w:t>
      </w:r>
      <w:r>
        <w:t xml:space="preserve"> ateliers de coproduction avec le GPMG</w:t>
      </w:r>
      <w:r w:rsidR="00370778">
        <w:t xml:space="preserve">. Il est proposé de réaliser trois ateliers </w:t>
      </w:r>
      <w:r>
        <w:t xml:space="preserve">: </w:t>
      </w:r>
    </w:p>
    <w:p w14:paraId="608BA118" w14:textId="77777777" w:rsidR="00370778" w:rsidRDefault="00096B02" w:rsidP="00C97E42">
      <w:pPr>
        <w:pStyle w:val="Paragraphedeliste"/>
        <w:numPr>
          <w:ilvl w:val="0"/>
          <w:numId w:val="79"/>
        </w:numPr>
      </w:pPr>
      <w:r>
        <w:t xml:space="preserve">Atelier 1 – Validation de la priorisation : présentation de l'analyse multicritère et de la hiérarchisation proposée des mesures d'adaptation, échanges et ajustements avec le GPMG ; </w:t>
      </w:r>
    </w:p>
    <w:p w14:paraId="65719C81" w14:textId="77777777" w:rsidR="00370778" w:rsidRDefault="00096B02" w:rsidP="00C97E42">
      <w:pPr>
        <w:pStyle w:val="Paragraphedeliste"/>
        <w:numPr>
          <w:ilvl w:val="0"/>
          <w:numId w:val="79"/>
        </w:numPr>
      </w:pPr>
      <w:r>
        <w:t xml:space="preserve">Atelier 2 – Articulation stratégique et budgétaire : mise en cohérence des actions retenues avec le PCA, la programmation des investissements, la continuité de service et les autres plans du territoire ; discussion des ordres de grandeur budgétaires et des pistes de financement ; </w:t>
      </w:r>
    </w:p>
    <w:p w14:paraId="0DAA7165" w14:textId="66157F74" w:rsidR="00370778" w:rsidRDefault="00096B02" w:rsidP="00C97E42">
      <w:pPr>
        <w:pStyle w:val="Paragraphedeliste"/>
        <w:numPr>
          <w:ilvl w:val="0"/>
          <w:numId w:val="79"/>
        </w:numPr>
      </w:pPr>
      <w:r>
        <w:t xml:space="preserve">Atelier 3 – Validation du plan d'action : présentation de la version consolidée du plan d'action (calendrier, porteurs, indicateurs, budget) et recueil des derniers ajustements avant finalisation. </w:t>
      </w:r>
    </w:p>
    <w:p w14:paraId="651820F0" w14:textId="77777777" w:rsidR="00D84B53" w:rsidRDefault="00096B02" w:rsidP="00D33D11">
      <w:r>
        <w:t xml:space="preserve">Le prestataire pourra proposer un nombre d'ateliers </w:t>
      </w:r>
      <w:r w:rsidR="00D84B53">
        <w:t>différent</w:t>
      </w:r>
      <w:r>
        <w:t xml:space="preserve"> dans son mémoire technique</w:t>
      </w:r>
      <w:r w:rsidR="00D84B53">
        <w:t>.</w:t>
      </w:r>
    </w:p>
    <w:p w14:paraId="4D29CB24" w14:textId="77777777" w:rsidR="00D84B53" w:rsidRDefault="00D84B53" w:rsidP="00D33D11"/>
    <w:p w14:paraId="351BE588" w14:textId="4BF82A0D" w:rsidR="00D84B53" w:rsidRPr="00C97E42" w:rsidRDefault="00D84B53" w:rsidP="00D33D11">
      <w:pPr>
        <w:rPr>
          <w:b/>
          <w:bCs/>
        </w:rPr>
      </w:pPr>
      <w:r w:rsidRPr="00C97E42">
        <w:rPr>
          <w:b/>
          <w:bCs/>
        </w:rPr>
        <w:t xml:space="preserve">Structuration </w:t>
      </w:r>
      <w:r w:rsidR="00096B02" w:rsidRPr="00C97E42">
        <w:rPr>
          <w:b/>
          <w:bCs/>
        </w:rPr>
        <w:t xml:space="preserve">du plan d'action </w:t>
      </w:r>
    </w:p>
    <w:p w14:paraId="2C00B495" w14:textId="77777777" w:rsidR="00E72BF3" w:rsidRDefault="00096B02" w:rsidP="00D33D11">
      <w:r>
        <w:t xml:space="preserve">Le plan d'action sera structuré selon trois horizons temporels : Court terme (2026-2030) ; Moyen terme (2031-2050) ; Long terme (2051-2100). </w:t>
      </w:r>
    </w:p>
    <w:p w14:paraId="0A3BA9BF" w14:textId="77777777" w:rsidR="00E72BF3" w:rsidRDefault="00E72BF3" w:rsidP="00D33D11"/>
    <w:p w14:paraId="36B66F5C" w14:textId="3D8E6883" w:rsidR="00E72BF3" w:rsidRDefault="00096B02" w:rsidP="00D33D11">
      <w:r>
        <w:t xml:space="preserve">Chaque action du plan devra être rattachée explicitement à un ou plusieurs des six objectifs prioritaires du GPMG énoncés à l'article 3.5 (continuité d'activité, interfaces port/territoire, fonctionnalités et externalités, actifs long terme, poursuite de l'acquisition de données, partenariats d'études). </w:t>
      </w:r>
    </w:p>
    <w:p w14:paraId="5E03D546" w14:textId="77777777" w:rsidR="00E72BF3" w:rsidRDefault="00096B02" w:rsidP="00D33D11">
      <w:r>
        <w:lastRenderedPageBreak/>
        <w:t xml:space="preserve">Pour chaque mesure retenue dans le plan d'action, le prestataire renseignera a minima : </w:t>
      </w:r>
    </w:p>
    <w:p w14:paraId="7CA77F3D" w14:textId="77777777" w:rsidR="00E72BF3" w:rsidRDefault="00096B02" w:rsidP="00C97E42">
      <w:pPr>
        <w:pStyle w:val="Paragraphedeliste"/>
        <w:numPr>
          <w:ilvl w:val="0"/>
          <w:numId w:val="80"/>
        </w:numPr>
      </w:pPr>
      <w:r>
        <w:t xml:space="preserve">La description de l'action ; </w:t>
      </w:r>
    </w:p>
    <w:p w14:paraId="05B7E178" w14:textId="77777777" w:rsidR="00E72BF3" w:rsidRDefault="00096B02" w:rsidP="00C97E42">
      <w:pPr>
        <w:pStyle w:val="Paragraphedeliste"/>
        <w:numPr>
          <w:ilvl w:val="0"/>
          <w:numId w:val="80"/>
        </w:numPr>
      </w:pPr>
      <w:r>
        <w:t xml:space="preserve">Le calendrier de mise en œuvre ; </w:t>
      </w:r>
    </w:p>
    <w:p w14:paraId="1FD9E9A7" w14:textId="77777777" w:rsidR="00E72BF3" w:rsidRDefault="00096B02" w:rsidP="00C97E42">
      <w:pPr>
        <w:pStyle w:val="Paragraphedeliste"/>
        <w:numPr>
          <w:ilvl w:val="0"/>
          <w:numId w:val="80"/>
        </w:numPr>
      </w:pPr>
      <w:r>
        <w:t xml:space="preserve">Le porteur / responsable de l'action ; </w:t>
      </w:r>
    </w:p>
    <w:p w14:paraId="0E8BFAE9" w14:textId="1E3B6E74" w:rsidR="00893333" w:rsidRDefault="00096B02" w:rsidP="00C97E42">
      <w:pPr>
        <w:pStyle w:val="Paragraphedeliste"/>
        <w:numPr>
          <w:ilvl w:val="0"/>
          <w:numId w:val="80"/>
        </w:numPr>
      </w:pPr>
      <w:r>
        <w:t xml:space="preserve">Les indicateurs de suivi quantitatifs ou qualitatifs ; </w:t>
      </w:r>
    </w:p>
    <w:p w14:paraId="4A7975B3" w14:textId="77777777" w:rsidR="00E72BF3" w:rsidRDefault="00096B02" w:rsidP="00C97E42">
      <w:pPr>
        <w:pStyle w:val="Paragraphedeliste"/>
        <w:numPr>
          <w:ilvl w:val="0"/>
          <w:numId w:val="80"/>
        </w:numPr>
      </w:pPr>
      <w:r>
        <w:t xml:space="preserve">L'estimation budgétaire indicative ; </w:t>
      </w:r>
    </w:p>
    <w:p w14:paraId="574824A8" w14:textId="1A38EC81" w:rsidR="00E72BF3" w:rsidRDefault="00096B02" w:rsidP="00E72BF3">
      <w:pPr>
        <w:pStyle w:val="Paragraphedeliste"/>
        <w:numPr>
          <w:ilvl w:val="0"/>
          <w:numId w:val="80"/>
        </w:numPr>
      </w:pPr>
      <w:r>
        <w:t>Les synergies avec les actions d'atténuation / décarbonation</w:t>
      </w:r>
      <w:r w:rsidR="00893333">
        <w:t> ;</w:t>
      </w:r>
    </w:p>
    <w:p w14:paraId="20D2CC16" w14:textId="1B9FD2E2" w:rsidR="00893333" w:rsidRDefault="00893333" w:rsidP="00893333">
      <w:pPr>
        <w:pStyle w:val="Paragraphedeliste"/>
        <w:numPr>
          <w:ilvl w:val="0"/>
          <w:numId w:val="80"/>
        </w:numPr>
      </w:pPr>
      <w:r>
        <w:t>L’évaluation des marges d’adaptation disponibles ou mobilisables ;</w:t>
      </w:r>
    </w:p>
    <w:p w14:paraId="1F3005A0" w14:textId="77777777" w:rsidR="00721BE3" w:rsidRPr="00C97E42" w:rsidRDefault="00893333" w:rsidP="00721BE3">
      <w:pPr>
        <w:pStyle w:val="Paragraphedeliste"/>
        <w:numPr>
          <w:ilvl w:val="0"/>
          <w:numId w:val="80"/>
        </w:numPr>
        <w:spacing w:before="120" w:after="120"/>
        <w:contextualSpacing w:val="0"/>
        <w:rPr>
          <w:color w:val="292574"/>
          <w:shd w:val="clear" w:color="auto" w:fill="FFFFFF"/>
        </w:rPr>
      </w:pPr>
      <w:r>
        <w:t>L’analyse des freins potentiels (techniques, humains, financiers, réglementaires) ;</w:t>
      </w:r>
    </w:p>
    <w:p w14:paraId="2D2466B2" w14:textId="78097DE7" w:rsidR="00893333" w:rsidRPr="00721BE3" w:rsidRDefault="00893333" w:rsidP="00721BE3">
      <w:pPr>
        <w:pStyle w:val="Paragraphedeliste"/>
        <w:numPr>
          <w:ilvl w:val="0"/>
          <w:numId w:val="80"/>
        </w:numPr>
        <w:spacing w:before="120" w:after="120"/>
        <w:contextualSpacing w:val="0"/>
        <w:rPr>
          <w:color w:val="292574"/>
          <w:shd w:val="clear" w:color="auto" w:fill="FFFFFF"/>
        </w:rPr>
      </w:pPr>
      <w:r w:rsidRPr="00721BE3">
        <w:rPr>
          <w:color w:val="292574"/>
          <w:shd w:val="clear" w:color="auto" w:fill="FFFFFF"/>
        </w:rPr>
        <w:t>Des recommandations opérationnelles pour maximiser ces synergies dans les futurs programmes d’investissement et les dossiers de financement.</w:t>
      </w:r>
    </w:p>
    <w:p w14:paraId="3FE7729A" w14:textId="77777777" w:rsidR="00893333" w:rsidRDefault="00893333" w:rsidP="00C97E42">
      <w:pPr>
        <w:pStyle w:val="Paragraphedeliste"/>
      </w:pPr>
    </w:p>
    <w:p w14:paraId="45063892" w14:textId="77777777" w:rsidR="00E72BF3" w:rsidRDefault="00E72BF3" w:rsidP="00D33D11"/>
    <w:p w14:paraId="6B700457" w14:textId="77777777" w:rsidR="007A1878" w:rsidRDefault="00096B02" w:rsidP="00D33D11">
      <w:r>
        <w:t xml:space="preserve">Les indicateurs de suivi proposés par le prestataire devront être SMART (Spécifiques, Mesurables, Atteignables, Réalistes et Temporellement définis). Pour chaque indicateur, le prestataire précisera : sa définition, sa formule de calcul, ses sources de données, sa fréquence de mesure, ses cibles et seuils d'alerte, ainsi que le responsable du suivi. Un tableau synthétique des indicateurs sera intégré au plan d'action. </w:t>
      </w:r>
    </w:p>
    <w:p w14:paraId="5AAD6238" w14:textId="77777777" w:rsidR="007A1878" w:rsidRDefault="007A1878" w:rsidP="00D33D11"/>
    <w:p w14:paraId="07AEA2E5" w14:textId="562F7457" w:rsidR="007A1878" w:rsidRDefault="007A1878" w:rsidP="00D33D11">
      <w:r>
        <w:t>L</w:t>
      </w:r>
      <w:r w:rsidR="00096B02">
        <w:t xml:space="preserve">e plan d'action présentera une proposition de priorisation des actions fondée sur leur criticité, leur urgence, leur rapport coût/efficacité et leurs synergies adaptation/atténuation. Il comprendra un tableau de synthèse global de l'ensemble des actions, ainsi qu'une version de synthèse destinée à une diffusion élargie auprès des instances du GPMG et, le cas échéant, des acteurs du territoire. </w:t>
      </w:r>
    </w:p>
    <w:p w14:paraId="758F06B1" w14:textId="0B00B362" w:rsidR="00E970D1" w:rsidRDefault="00E970D1" w:rsidP="00D33D11"/>
    <w:p w14:paraId="59B7109E" w14:textId="1D9E92C5" w:rsidR="00FC17B4" w:rsidRDefault="00FC17B4" w:rsidP="00FC17B4">
      <w:r>
        <w:t>Enfin, il est attendu du prestataire de livrer une Base de Données structurée et évolutive, conçue en priorité pour l'usage autonome du GPMG. Cette BDD (format Excel + Access ou PostgreSQL léger, à privilégier selon la capacité de maintenance interne du GPMG) recensera l'ensemble des actifs, composants, sensibilités, vulnérabilités et mesures identifiés au cours de l'étude.</w:t>
      </w:r>
    </w:p>
    <w:p w14:paraId="5F056180" w14:textId="03BA99E8" w:rsidR="00FC17B4" w:rsidRDefault="00FC17B4" w:rsidP="00FC17B4">
      <w:r>
        <w:t xml:space="preserve">Le prestataire livrera également un </w:t>
      </w:r>
      <w:proofErr w:type="spellStart"/>
      <w:r>
        <w:t>visualiseur</w:t>
      </w:r>
      <w:proofErr w:type="spellEnd"/>
      <w:r>
        <w:t xml:space="preserve"> cartographique simple et intuitif (QGIS ou Power BI, à définir avec le GPMG selon les outils déjà maîtrisés en interne), permettant une lecture rapide et visuelle des zones à risque, du niveau de criticité des actifs et de l'état d'avancement des mesures.</w:t>
      </w:r>
    </w:p>
    <w:p w14:paraId="4A141196" w14:textId="2D9FBFCA" w:rsidR="007A1878" w:rsidRDefault="00FC17B4" w:rsidP="00FC17B4">
      <w:r>
        <w:t>La BDD devra être accompagnée d'un mode d'emploi clair et illustré, et sa structure devra être pensée pour que le GPMG puisse la mettre à jour de manière autonome (ajout de nouveaux actifs, actualisation des mesures, suivi des indicateurs) sans dépendre d'une intervention extérieure. Une session de prise en main sera proposée à l'équipe du GPMG à la livraison de l'outil.</w:t>
      </w:r>
    </w:p>
    <w:p w14:paraId="648D83B8" w14:textId="77777777" w:rsidR="00FC17B4" w:rsidRDefault="00FC17B4" w:rsidP="00FC17B4"/>
    <w:p w14:paraId="0152AD80" w14:textId="7EF37AE2" w:rsidR="00096B02" w:rsidRDefault="00096B02" w:rsidP="00D33D11">
      <w:r>
        <w:t>Le Cerema, en tant qu'AMO du GPMG, accompagnera le GPMG dans l'appropriation et la mise en œuvre du plan d'action à l'issue de la présente étude.</w:t>
      </w:r>
    </w:p>
    <w:p w14:paraId="7D89D1D5" w14:textId="77777777" w:rsidR="00D266BA" w:rsidRPr="002640E5" w:rsidRDefault="00D266BA" w:rsidP="00473AB7">
      <w:pPr>
        <w:rPr>
          <w:rStyle w:val="Accentuationintense"/>
          <w:i w:val="0"/>
          <w:iCs w:val="0"/>
          <w:color w:val="auto"/>
        </w:rPr>
      </w:pPr>
    </w:p>
    <w:p w14:paraId="2B43D80F" w14:textId="77777777" w:rsidR="00D266BA" w:rsidRDefault="00D266BA" w:rsidP="006D381A">
      <w:pPr>
        <w:pStyle w:val="NormalNoir"/>
        <w:pBdr>
          <w:top w:val="single" w:sz="4" w:space="1" w:color="000000"/>
          <w:left w:val="single" w:sz="4" w:space="31" w:color="000000"/>
          <w:bottom w:val="single" w:sz="4" w:space="1" w:color="000000"/>
          <w:right w:val="single" w:sz="4" w:space="4" w:color="000000"/>
        </w:pBdr>
        <w:ind w:left="709"/>
        <w:jc w:val="center"/>
        <w:rPr>
          <w:color w:val="auto"/>
        </w:rPr>
      </w:pPr>
      <w:r>
        <w:rPr>
          <w:color w:val="auto"/>
        </w:rPr>
        <w:t>Livrables</w:t>
      </w:r>
    </w:p>
    <w:p w14:paraId="0E7C1BAE" w14:textId="77777777" w:rsidR="00096B02" w:rsidRDefault="00096B02" w:rsidP="00096B02">
      <w:pPr>
        <w:pStyle w:val="Paragraphedeliste"/>
        <w:numPr>
          <w:ilvl w:val="0"/>
          <w:numId w:val="69"/>
        </w:numPr>
      </w:pPr>
      <w:r>
        <w:t>Le compte rendu des ateliers de coproduction organisés avec le GPMG ;</w:t>
      </w:r>
    </w:p>
    <w:p w14:paraId="69E4085A" w14:textId="64DD98E3" w:rsidR="007A1878" w:rsidRDefault="00096B02" w:rsidP="007A1878">
      <w:pPr>
        <w:pStyle w:val="Paragraphedeliste"/>
        <w:numPr>
          <w:ilvl w:val="0"/>
          <w:numId w:val="69"/>
        </w:numPr>
      </w:pPr>
      <w:r>
        <w:t xml:space="preserve">Le </w:t>
      </w:r>
      <w:r w:rsidR="007A1878">
        <w:t>tableau de synthèse global des actions ainsi le tableau de synthèse global des indicateurs de suivi ;</w:t>
      </w:r>
    </w:p>
    <w:p w14:paraId="4A3E9982" w14:textId="45E6E9ED" w:rsidR="00096B02" w:rsidRDefault="00BA1F2A" w:rsidP="00096B02">
      <w:pPr>
        <w:pStyle w:val="Paragraphedeliste"/>
        <w:numPr>
          <w:ilvl w:val="0"/>
          <w:numId w:val="69"/>
        </w:numPr>
      </w:pPr>
      <w:r>
        <w:t xml:space="preserve">Un </w:t>
      </w:r>
      <w:r w:rsidR="00096B02">
        <w:t>plan d'action / stratégie de résilience du GPMG, structuré selon les trois horizons temporels (court, moyen, long terme), intégrant pour chaque action sa description, son calendrier, son porteur, ses indicateurs de suivi SMART, son estimation budgétaire indicative et ses synergies adaptation/atténuation ;</w:t>
      </w:r>
    </w:p>
    <w:p w14:paraId="3AE30F48" w14:textId="77777777" w:rsidR="00AA1B84" w:rsidRDefault="00096B02" w:rsidP="00AA1B84">
      <w:pPr>
        <w:pStyle w:val="Paragraphedeliste"/>
        <w:numPr>
          <w:ilvl w:val="0"/>
          <w:numId w:val="69"/>
        </w:numPr>
      </w:pPr>
      <w:r>
        <w:t>Une version de synthèse du plan d'action ;</w:t>
      </w:r>
    </w:p>
    <w:p w14:paraId="0770CD13" w14:textId="77777777" w:rsidR="00E970D1" w:rsidRDefault="00096B02" w:rsidP="00AA1B84">
      <w:pPr>
        <w:pStyle w:val="Paragraphedeliste"/>
        <w:numPr>
          <w:ilvl w:val="0"/>
          <w:numId w:val="69"/>
        </w:numPr>
      </w:pPr>
      <w:r>
        <w:t>Le cas échéant, une identification des pistes de financement mobilisables</w:t>
      </w:r>
      <w:r w:rsidR="00E970D1">
        <w:t> ;</w:t>
      </w:r>
    </w:p>
    <w:p w14:paraId="35B29B72" w14:textId="77777777" w:rsidR="00E970D1" w:rsidRDefault="00E970D1" w:rsidP="00AA1B84">
      <w:pPr>
        <w:pStyle w:val="Paragraphedeliste"/>
        <w:numPr>
          <w:ilvl w:val="0"/>
          <w:numId w:val="69"/>
        </w:numPr>
      </w:pPr>
      <w:r>
        <w:t xml:space="preserve">Une base de données structurée et évolutive avec </w:t>
      </w:r>
      <w:proofErr w:type="spellStart"/>
      <w:r>
        <w:t>visualiseur</w:t>
      </w:r>
      <w:proofErr w:type="spellEnd"/>
      <w:r>
        <w:t xml:space="preserve"> cartographique.</w:t>
      </w:r>
    </w:p>
    <w:p w14:paraId="4B970889" w14:textId="5BD445A8" w:rsidR="003A43EC" w:rsidRDefault="003A43EC" w:rsidP="00D266BA"/>
    <w:p w14:paraId="79812235" w14:textId="10B4132D" w:rsidR="00E976EB" w:rsidRDefault="00E976EB" w:rsidP="00D266BA">
      <w:r>
        <w:t>L'étude sera ainsi conclue par la remise d'un rapport de vulnérabilité du GPMG au changement climatique, justifié et complété par un plan d'action / stratégie de résilience opérationnelle.</w:t>
      </w:r>
      <w:r w:rsidR="00721BE3">
        <w:t xml:space="preserve"> </w:t>
      </w:r>
      <w:r w:rsidR="00721BE3" w:rsidRPr="00721BE3">
        <w:t>Le prestataire identifiera explicitement les incertitudes majeures (scientifiques, réglementaires, financières) et proposera une méthodologie d’actualisation du plan de résilience tous les 5 ans.</w:t>
      </w:r>
    </w:p>
    <w:p w14:paraId="014A2F77" w14:textId="1B4C4A1A" w:rsidR="006D381A" w:rsidRDefault="006D381A">
      <w:pPr>
        <w:jc w:val="left"/>
        <w:rPr>
          <w:b/>
          <w:bCs/>
        </w:rPr>
      </w:pPr>
    </w:p>
    <w:p w14:paraId="77ABEEF5" w14:textId="2EEF1B73" w:rsidR="00E1175C" w:rsidRPr="00C97E42" w:rsidRDefault="00E1175C" w:rsidP="00C97E42">
      <w:pPr>
        <w:pStyle w:val="Titre2"/>
        <w:rPr>
          <w:shd w:val="clear" w:color="auto" w:fill="FFFFFF"/>
        </w:rPr>
      </w:pPr>
      <w:bookmarkStart w:id="60" w:name="_Toc235518185"/>
      <w:r w:rsidRPr="00C97E42">
        <w:rPr>
          <w:shd w:val="clear" w:color="auto" w:fill="FFFFFF"/>
        </w:rPr>
        <w:t>Priorités et points d’attention du Maître d’Ouvrage</w:t>
      </w:r>
      <w:bookmarkEnd w:id="60"/>
    </w:p>
    <w:p w14:paraId="788F9BF7" w14:textId="667B95D5" w:rsidR="00E1175C" w:rsidRPr="00E1175C" w:rsidRDefault="00E1175C" w:rsidP="00C97E42">
      <w:r>
        <w:t>Il est rappelé que les principales priorités du GPMG dans l’étude de vulnérabilité sont :</w:t>
      </w:r>
    </w:p>
    <w:p w14:paraId="19FB35C0" w14:textId="77777777" w:rsidR="00E1175C" w:rsidRDefault="00E1175C" w:rsidP="00E1175C">
      <w:pPr>
        <w:numPr>
          <w:ilvl w:val="0"/>
          <w:numId w:val="72"/>
        </w:numPr>
        <w:spacing w:before="100" w:beforeAutospacing="1" w:after="100" w:afterAutospacing="1"/>
        <w:jc w:val="left"/>
      </w:pPr>
      <w:r>
        <w:rPr>
          <w:rStyle w:val="lev"/>
        </w:rPr>
        <w:t>Continuité d’activité</w:t>
      </w:r>
      <w:r>
        <w:t xml:space="preserve"> : maintien des capacités d’import/export et garantie d’accès nautiques et routiers (rupture maximale de 7 jours) ; élaboration et calibrage du Plan de Continuité d’Activité (PCA).</w:t>
      </w:r>
    </w:p>
    <w:p w14:paraId="5549CD42" w14:textId="076F2648" w:rsidR="00E1175C" w:rsidRDefault="00E1175C" w:rsidP="00E1175C">
      <w:pPr>
        <w:numPr>
          <w:ilvl w:val="0"/>
          <w:numId w:val="72"/>
        </w:numPr>
        <w:spacing w:before="100" w:beforeAutospacing="1" w:after="100" w:afterAutospacing="1"/>
        <w:jc w:val="left"/>
      </w:pPr>
      <w:r>
        <w:rPr>
          <w:rStyle w:val="lev"/>
        </w:rPr>
        <w:t>Interfaces port / territoire</w:t>
      </w:r>
      <w:r>
        <w:t xml:space="preserve"> : prise en compte systématique des interdépendances (</w:t>
      </w:r>
      <w:r w:rsidR="00E67F7C">
        <w:t>exploitation tierce d’ouvrages portuaires</w:t>
      </w:r>
      <w:r w:rsidR="007301EA">
        <w:t>,</w:t>
      </w:r>
      <w:r w:rsidR="00E67F7C">
        <w:t xml:space="preserve"> en particulier le </w:t>
      </w:r>
      <w:r>
        <w:t>CSG, routes, énergie, approvisionnements) et des externalités sur les fonctions territoriales.</w:t>
      </w:r>
    </w:p>
    <w:p w14:paraId="0B5433E6" w14:textId="6E6EA876" w:rsidR="00E1175C" w:rsidRDefault="00E1175C" w:rsidP="00E1175C">
      <w:pPr>
        <w:numPr>
          <w:ilvl w:val="0"/>
          <w:numId w:val="72"/>
        </w:numPr>
        <w:spacing w:before="100" w:beforeAutospacing="1" w:after="100" w:afterAutospacing="1"/>
        <w:jc w:val="left"/>
      </w:pPr>
      <w:r>
        <w:rPr>
          <w:rStyle w:val="lev"/>
        </w:rPr>
        <w:t xml:space="preserve">Fonctionnalités </w:t>
      </w:r>
      <w:r w:rsidR="007301EA">
        <w:rPr>
          <w:rStyle w:val="lev"/>
        </w:rPr>
        <w:t>et</w:t>
      </w:r>
      <w:r>
        <w:rPr>
          <w:rStyle w:val="lev"/>
        </w:rPr>
        <w:t xml:space="preserve"> externalités</w:t>
      </w:r>
      <w:r>
        <w:t xml:space="preserve"> : évaluer l’impact d’une indisponibilité portuaire sur approvisionnements critiques, filières économiques locales et zones desservies.</w:t>
      </w:r>
    </w:p>
    <w:p w14:paraId="3857A6A4" w14:textId="77777777" w:rsidR="00E1175C" w:rsidRDefault="00E1175C" w:rsidP="00E1175C">
      <w:pPr>
        <w:numPr>
          <w:ilvl w:val="0"/>
          <w:numId w:val="72"/>
        </w:numPr>
        <w:spacing w:before="100" w:beforeAutospacing="1" w:after="100" w:afterAutospacing="1"/>
        <w:jc w:val="left"/>
      </w:pPr>
      <w:r>
        <w:rPr>
          <w:rStyle w:val="lev"/>
        </w:rPr>
        <w:t>Actifs longs terme</w:t>
      </w:r>
      <w:r>
        <w:t xml:space="preserve"> : formaliser clairement les hypothèses techniques et financières pour les actifs à longue durée de vie (horizon 2050–2100) : paramètres de dimensionnement, seuils critiques, scénario d’évolution retenu, stratégie de financement.</w:t>
      </w:r>
    </w:p>
    <w:p w14:paraId="15A0C23D" w14:textId="6DF72BC6" w:rsidR="00E1175C" w:rsidRDefault="00E1175C" w:rsidP="00E1175C">
      <w:pPr>
        <w:numPr>
          <w:ilvl w:val="0"/>
          <w:numId w:val="72"/>
        </w:numPr>
        <w:spacing w:before="100" w:beforeAutospacing="1" w:after="100" w:afterAutospacing="1"/>
        <w:jc w:val="left"/>
      </w:pPr>
      <w:r>
        <w:rPr>
          <w:rStyle w:val="lev"/>
        </w:rPr>
        <w:t>Poursuite de l’acquisition de données</w:t>
      </w:r>
      <w:r>
        <w:t xml:space="preserve"> : constitution et maintien d’un outil de suivi (BDD </w:t>
      </w:r>
      <w:r w:rsidR="007301EA">
        <w:t>et</w:t>
      </w:r>
      <w:r>
        <w:t xml:space="preserve"> </w:t>
      </w:r>
      <w:proofErr w:type="spellStart"/>
      <w:r>
        <w:t>visualiseur</w:t>
      </w:r>
      <w:proofErr w:type="spellEnd"/>
      <w:r>
        <w:t xml:space="preserve"> cartographique) pour alimenter la révision du plan d’action dans les prochaines décennies.</w:t>
      </w:r>
    </w:p>
    <w:p w14:paraId="53485DC6" w14:textId="77777777" w:rsidR="00E1175C" w:rsidRDefault="00E1175C" w:rsidP="00E1175C">
      <w:pPr>
        <w:numPr>
          <w:ilvl w:val="0"/>
          <w:numId w:val="72"/>
        </w:numPr>
        <w:spacing w:before="100" w:beforeAutospacing="1" w:after="100" w:afterAutospacing="1"/>
        <w:jc w:val="left"/>
      </w:pPr>
      <w:r>
        <w:rPr>
          <w:rStyle w:val="lev"/>
        </w:rPr>
        <w:t>Partenariats d’études</w:t>
      </w:r>
      <w:r>
        <w:t xml:space="preserve"> : maintien et renforcement des coopérations scientifiques (ex. LEEISE / CNRS), partage d’études hydro</w:t>
      </w:r>
      <w:r>
        <w:noBreakHyphen/>
        <w:t>sédimentaires et expertise dragage.</w:t>
      </w:r>
    </w:p>
    <w:p w14:paraId="2E057DC6" w14:textId="7528A1F6" w:rsidR="007301EA" w:rsidRDefault="007301EA">
      <w:pPr>
        <w:jc w:val="left"/>
      </w:pPr>
      <w:r w:rsidRPr="007301EA">
        <w:t>Dans chaque livrable, le consultant inclura un encart établissant le lien explicite entre les résultats produits, les priorités du GPMG (continuité d'activité, interfaces port-territoire, actifs long terme, etc.), les indicateurs de performance associés et les responsabilités en matière de fourniture de données.</w:t>
      </w:r>
    </w:p>
    <w:p w14:paraId="165A5D7E" w14:textId="6A501665" w:rsidR="00BE2DCC" w:rsidRPr="0009740C" w:rsidRDefault="007301EA" w:rsidP="00BE2DCC">
      <w:pPr>
        <w:pStyle w:val="Titre1"/>
      </w:pPr>
      <w:r>
        <w:br w:type="page"/>
      </w:r>
      <w:bookmarkStart w:id="61" w:name="_Toc228286535"/>
      <w:bookmarkStart w:id="62" w:name="_Toc235518186"/>
      <w:r w:rsidR="00BE2DCC" w:rsidRPr="0009740C">
        <w:lastRenderedPageBreak/>
        <w:t>Déroulement de l’étude</w:t>
      </w:r>
      <w:bookmarkEnd w:id="61"/>
      <w:bookmarkEnd w:id="62"/>
    </w:p>
    <w:p w14:paraId="23C15E07" w14:textId="77777777" w:rsidR="00BE2DCC" w:rsidRPr="0009740C" w:rsidRDefault="00BE2DCC" w:rsidP="00BE2DCC">
      <w:pPr>
        <w:pStyle w:val="Titre2"/>
      </w:pPr>
      <w:bookmarkStart w:id="63" w:name="_Toc135131480"/>
      <w:bookmarkStart w:id="64" w:name="_Toc134612642"/>
      <w:bookmarkStart w:id="65" w:name="_Toc73548046"/>
      <w:bookmarkStart w:id="66" w:name="_Toc228286536"/>
      <w:bookmarkStart w:id="67" w:name="_Toc235518187"/>
      <w:r w:rsidRPr="0009740C">
        <w:t>Modalités de pilotage</w:t>
      </w:r>
      <w:bookmarkEnd w:id="63"/>
      <w:bookmarkEnd w:id="64"/>
      <w:bookmarkEnd w:id="65"/>
      <w:bookmarkEnd w:id="66"/>
      <w:bookmarkEnd w:id="67"/>
    </w:p>
    <w:p w14:paraId="2EBC6F5C" w14:textId="508087AA" w:rsidR="00200EC9" w:rsidRDefault="00BE2DCC" w:rsidP="00BE2DCC">
      <w:r w:rsidRPr="0009740C">
        <w:t xml:space="preserve">La </w:t>
      </w:r>
      <w:r w:rsidR="0016300C">
        <w:t xml:space="preserve">maîtrise d’ouvrage est assurée par le GPMG, assisté par le Cerema. </w:t>
      </w:r>
    </w:p>
    <w:p w14:paraId="6DE1590D" w14:textId="77777777" w:rsidR="00004AEE" w:rsidRDefault="00004AEE" w:rsidP="00BE2DCC"/>
    <w:p w14:paraId="05754134" w14:textId="0656B25F" w:rsidR="00200EC9" w:rsidRDefault="00200EC9" w:rsidP="00BE2DCC">
      <w:r>
        <w:t xml:space="preserve">Le pilotage général de la mission est assuré par : </w:t>
      </w:r>
    </w:p>
    <w:p w14:paraId="4705A60D" w14:textId="1F193583" w:rsidR="00004AEE" w:rsidRDefault="00004AEE" w:rsidP="00004AEE">
      <w:pPr>
        <w:pStyle w:val="Paragraphedeliste"/>
        <w:numPr>
          <w:ilvl w:val="0"/>
          <w:numId w:val="30"/>
        </w:numPr>
      </w:pPr>
      <w:r>
        <w:t xml:space="preserve">Pour le GPMG : </w:t>
      </w:r>
    </w:p>
    <w:p w14:paraId="2526AA73" w14:textId="02F3729C" w:rsidR="00004AEE" w:rsidRDefault="00004AEE" w:rsidP="00004AEE">
      <w:pPr>
        <w:pStyle w:val="Paragraphedeliste"/>
        <w:numPr>
          <w:ilvl w:val="0"/>
          <w:numId w:val="30"/>
        </w:numPr>
      </w:pPr>
      <w:r>
        <w:t>Pour le Cerema :</w:t>
      </w:r>
    </w:p>
    <w:p w14:paraId="3D2B9FD0" w14:textId="77777777" w:rsidR="00004AEE" w:rsidRDefault="00004AEE" w:rsidP="00BE2DCC"/>
    <w:p w14:paraId="36EB206F" w14:textId="2F6D4DA4" w:rsidR="0018647D" w:rsidRDefault="0018647D" w:rsidP="0018647D">
      <w:pPr>
        <w:pStyle w:val="Paragraphedeliste"/>
        <w:suppressAutoHyphens/>
        <w:spacing w:after="200" w:line="276" w:lineRule="auto"/>
        <w:ind w:left="0"/>
        <w:rPr>
          <w:lang w:eastAsia="en-GB"/>
        </w:rPr>
      </w:pPr>
      <w:r>
        <w:t>Le prestataire travaillera en étroite collaboration avec le Cerema, Assistant à Maîtrise d’Ouvrage (AMO) du GPMG pour cette étude. Le prestataire devra transmettre tous les livrables, y compris intermédiaires, au Cerema en parallèle du GPMG.</w:t>
      </w:r>
    </w:p>
    <w:p w14:paraId="75481B30" w14:textId="77777777" w:rsidR="0018647D" w:rsidRDefault="0018647D" w:rsidP="0018647D"/>
    <w:p w14:paraId="6A47EA9C" w14:textId="77777777" w:rsidR="0018647D" w:rsidRDefault="0018647D" w:rsidP="0018647D">
      <w:r>
        <w:t>Le Cerema assurera :</w:t>
      </w:r>
    </w:p>
    <w:p w14:paraId="64004B58" w14:textId="77777777" w:rsidR="0018647D" w:rsidRDefault="0018647D" w:rsidP="0018647D">
      <w:pPr>
        <w:pStyle w:val="Paragraphedeliste"/>
        <w:numPr>
          <w:ilvl w:val="0"/>
          <w:numId w:val="51"/>
        </w:numPr>
      </w:pPr>
      <w:r>
        <w:t>Le suivi technique et méthodologique de l’étude ;</w:t>
      </w:r>
    </w:p>
    <w:p w14:paraId="7A5765A7" w14:textId="77777777" w:rsidR="0018647D" w:rsidRDefault="0018647D" w:rsidP="0018647D">
      <w:pPr>
        <w:pStyle w:val="Paragraphedeliste"/>
        <w:numPr>
          <w:ilvl w:val="0"/>
          <w:numId w:val="51"/>
        </w:numPr>
      </w:pPr>
      <w:r>
        <w:t>La relecture et l’avis sur tous les livrables intermédiaires et finaux ;</w:t>
      </w:r>
    </w:p>
    <w:p w14:paraId="05E3AD16" w14:textId="77777777" w:rsidR="0018647D" w:rsidRDefault="0018647D" w:rsidP="0018647D">
      <w:pPr>
        <w:pStyle w:val="Paragraphedeliste"/>
        <w:numPr>
          <w:ilvl w:val="0"/>
          <w:numId w:val="51"/>
        </w:numPr>
      </w:pPr>
      <w:r>
        <w:t>L’appui à la validation des choix méthodologiques (notamment les échelles de notation, les scénarios climatiques et les critères d’analyse multicritère) ;</w:t>
      </w:r>
    </w:p>
    <w:p w14:paraId="0A73CA63" w14:textId="77777777" w:rsidR="0018647D" w:rsidRDefault="0018647D" w:rsidP="0018647D">
      <w:pPr>
        <w:pStyle w:val="Paragraphedeliste"/>
        <w:numPr>
          <w:ilvl w:val="0"/>
          <w:numId w:val="51"/>
        </w:numPr>
      </w:pPr>
      <w:r>
        <w:t>La facilitation des échanges avec le GPMG.</w:t>
      </w:r>
    </w:p>
    <w:p w14:paraId="1727DD95" w14:textId="77777777" w:rsidR="0018647D" w:rsidRDefault="0018647D" w:rsidP="0018647D">
      <w:pPr>
        <w:pStyle w:val="Paragraphedeliste"/>
        <w:numPr>
          <w:ilvl w:val="0"/>
          <w:numId w:val="51"/>
        </w:numPr>
      </w:pPr>
    </w:p>
    <w:p w14:paraId="6F6C57A5" w14:textId="7E4025DA" w:rsidR="0018647D" w:rsidRDefault="0018647D" w:rsidP="0018647D">
      <w:r>
        <w:t>Le prestataire devra intégrer systématiquement les remarques du Cerema dans les versions finales des livrables. Le Cerema participera aux Comités de pilotage stratégique et techniques.</w:t>
      </w:r>
    </w:p>
    <w:p w14:paraId="7DF91919" w14:textId="5844CC7E" w:rsidR="0018647D" w:rsidRDefault="0018647D" w:rsidP="0018647D"/>
    <w:p w14:paraId="7777FA6E" w14:textId="77777777" w:rsidR="0018647D" w:rsidRDefault="0018647D" w:rsidP="0018647D">
      <w:pPr>
        <w:rPr>
          <w:lang w:eastAsia="en-GB"/>
        </w:rPr>
      </w:pPr>
      <w:r>
        <w:t>Dans la continuité de l’étape, la maitrise d’ouvrage peut mobiliser autant que de besoin pour l’étude, ses équipes et celle du Cerema.</w:t>
      </w:r>
    </w:p>
    <w:p w14:paraId="50CF3DD4" w14:textId="77777777" w:rsidR="0018647D" w:rsidRDefault="0018647D" w:rsidP="0018647D">
      <w:pPr>
        <w:pStyle w:val="Paragraphedeliste"/>
        <w:suppressAutoHyphens/>
        <w:spacing w:after="200" w:line="276" w:lineRule="auto"/>
        <w:ind w:left="1440"/>
        <w:rPr>
          <w:lang w:eastAsia="en-GB"/>
        </w:rPr>
      </w:pPr>
    </w:p>
    <w:p w14:paraId="3983CF33" w14:textId="77777777" w:rsidR="0018647D" w:rsidRDefault="0018647D" w:rsidP="0018647D">
      <w:pPr>
        <w:pStyle w:val="Paragraphedeliste"/>
        <w:suppressAutoHyphens/>
        <w:spacing w:after="200" w:line="276" w:lineRule="auto"/>
        <w:ind w:left="0"/>
        <w:rPr>
          <w:lang w:eastAsia="en-GB"/>
        </w:rPr>
      </w:pPr>
      <w:r>
        <w:rPr>
          <w:lang w:eastAsia="en-GB"/>
        </w:rPr>
        <w:t>Un comité de pilotage spécifique à l’étude validera chaque phase.</w:t>
      </w:r>
    </w:p>
    <w:p w14:paraId="7F9BCD52" w14:textId="77777777" w:rsidR="0018647D" w:rsidRPr="0009740C" w:rsidRDefault="0018647D" w:rsidP="00924670">
      <w:pPr>
        <w:pStyle w:val="Paragraphedeliste"/>
        <w:suppressAutoHyphens/>
        <w:spacing w:after="200" w:line="276" w:lineRule="auto"/>
        <w:ind w:left="0"/>
      </w:pPr>
    </w:p>
    <w:p w14:paraId="629111DD" w14:textId="77777777" w:rsidR="00BE2DCC" w:rsidRPr="0009740C" w:rsidRDefault="00BE2DCC" w:rsidP="00BE2DCC">
      <w:pPr>
        <w:pStyle w:val="Titre2"/>
      </w:pPr>
      <w:bookmarkStart w:id="68" w:name="_Toc135131482"/>
      <w:bookmarkStart w:id="69" w:name="_Toc134612644"/>
      <w:bookmarkStart w:id="70" w:name="_Toc73548050"/>
      <w:bookmarkStart w:id="71" w:name="_Toc228286538"/>
      <w:bookmarkStart w:id="72" w:name="_Toc235518188"/>
      <w:r w:rsidRPr="0009740C">
        <w:t>Réunions de suivi</w:t>
      </w:r>
      <w:bookmarkEnd w:id="68"/>
      <w:bookmarkEnd w:id="69"/>
      <w:bookmarkEnd w:id="70"/>
      <w:bookmarkEnd w:id="71"/>
      <w:bookmarkEnd w:id="72"/>
    </w:p>
    <w:p w14:paraId="72673CBA" w14:textId="77777777" w:rsidR="00BE2DCC" w:rsidRPr="0009740C" w:rsidRDefault="00BE2DCC" w:rsidP="00BE2DCC">
      <w:pPr>
        <w:spacing w:before="240"/>
      </w:pPr>
      <w:r w:rsidRPr="0009740C">
        <w:t>L’étude débutera par une réunion de lancement avec visite de terrain en présence de la maîtrise d’ouvrage, du Cerema, du mandataire du groupement ainsi que de son ou ses co-traitants.</w:t>
      </w:r>
    </w:p>
    <w:p w14:paraId="7D919C8F" w14:textId="77777777" w:rsidR="00BE2DCC" w:rsidRPr="0009740C" w:rsidRDefault="00BE2DCC" w:rsidP="00BE2DCC">
      <w:pPr>
        <w:spacing w:before="240"/>
      </w:pPr>
      <w:r w:rsidRPr="0009740C">
        <w:t>Des réunions de suivis seront organisées selon les modalités suivantes :</w:t>
      </w:r>
    </w:p>
    <w:p w14:paraId="563016DB" w14:textId="571CEAB5" w:rsidR="00BE2DCC" w:rsidRPr="0009740C" w:rsidRDefault="002A252B" w:rsidP="00E45AE5">
      <w:pPr>
        <w:numPr>
          <w:ilvl w:val="0"/>
          <w:numId w:val="39"/>
        </w:numPr>
        <w:suppressAutoHyphens/>
        <w:spacing w:after="200" w:line="276" w:lineRule="auto"/>
        <w:contextualSpacing/>
      </w:pPr>
      <w:r w:rsidRPr="0009740C">
        <w:t>Le</w:t>
      </w:r>
      <w:r w:rsidR="00BE2DCC" w:rsidRPr="0009740C">
        <w:t xml:space="preserve"> maître d’ouvrage met à disposition la salle et invite les participants,</w:t>
      </w:r>
    </w:p>
    <w:p w14:paraId="0DE9A19C" w14:textId="3D22FBBC" w:rsidR="00BE2DCC" w:rsidRPr="0009740C" w:rsidRDefault="002A252B" w:rsidP="00E45AE5">
      <w:pPr>
        <w:numPr>
          <w:ilvl w:val="0"/>
          <w:numId w:val="39"/>
        </w:numPr>
        <w:suppressAutoHyphens/>
        <w:spacing w:after="200" w:line="276" w:lineRule="auto"/>
        <w:contextualSpacing/>
      </w:pPr>
      <w:r w:rsidRPr="0009740C">
        <w:t>Le</w:t>
      </w:r>
      <w:r w:rsidR="00BE2DCC" w:rsidRPr="0009740C">
        <w:t xml:space="preserve"> prestataire réalise les supports de réunion et rédige les comptes-rendus dans un délai d’une semaine.</w:t>
      </w:r>
    </w:p>
    <w:p w14:paraId="56E98D2D" w14:textId="77777777" w:rsidR="00BE2DCC" w:rsidRPr="0009740C" w:rsidRDefault="00BE2DCC" w:rsidP="00BE2DCC">
      <w:pPr>
        <w:contextualSpacing/>
      </w:pPr>
      <w:r w:rsidRPr="0009740C">
        <w:t>Des réunions techniques seront organisées entre le maître d’ouvrage et le bureau d’études au gré des besoins.</w:t>
      </w:r>
    </w:p>
    <w:p w14:paraId="58D9D754" w14:textId="4348700B" w:rsidR="00BE2DCC" w:rsidRDefault="00BE2DCC" w:rsidP="00BE2DCC">
      <w:r w:rsidRPr="0009740C">
        <w:t xml:space="preserve">D’autres réunions de travail seront à prévoir </w:t>
      </w:r>
      <w:r w:rsidR="002A252B">
        <w:t>selon le besoin</w:t>
      </w:r>
      <w:r w:rsidRPr="0009740C">
        <w:t xml:space="preserve"> pour le bon déroulement de l’étude. Le prestataire proposera un calendrier prévisionnel des réunions envisagées.</w:t>
      </w:r>
    </w:p>
    <w:p w14:paraId="4CFF3B26" w14:textId="768D02E2" w:rsidR="008E07FE" w:rsidRDefault="008E07FE" w:rsidP="00BE2DCC"/>
    <w:p w14:paraId="1AB48F64" w14:textId="2C5B0022" w:rsidR="008E07FE" w:rsidRDefault="008E07FE" w:rsidP="00BE2DCC">
      <w:r>
        <w:t>Les réunions à prévoir sur site sont :</w:t>
      </w:r>
    </w:p>
    <w:p w14:paraId="3A20F2CA" w14:textId="419638C4" w:rsidR="008E07FE" w:rsidRDefault="008E07FE" w:rsidP="008E07FE">
      <w:pPr>
        <w:pStyle w:val="Paragraphedeliste"/>
        <w:numPr>
          <w:ilvl w:val="0"/>
          <w:numId w:val="30"/>
        </w:numPr>
      </w:pPr>
      <w:r>
        <w:t>Une réunion de lancement avec visite de terrain</w:t>
      </w:r>
    </w:p>
    <w:p w14:paraId="3B0C959D" w14:textId="6D5649BA" w:rsidR="008E07FE" w:rsidRPr="0009740C" w:rsidRDefault="008E07FE" w:rsidP="008E07FE">
      <w:pPr>
        <w:pStyle w:val="Paragraphedeliste"/>
        <w:numPr>
          <w:ilvl w:val="0"/>
          <w:numId w:val="30"/>
        </w:numPr>
      </w:pPr>
      <w:r>
        <w:t xml:space="preserve">Les ateliers de co-construction </w:t>
      </w:r>
    </w:p>
    <w:p w14:paraId="3826A581" w14:textId="58E01FDF" w:rsidR="00BE2DCC" w:rsidRDefault="00BE2DCC" w:rsidP="00BE2DCC">
      <w:pPr>
        <w:pStyle w:val="Titre2"/>
      </w:pPr>
      <w:bookmarkStart w:id="73" w:name="_Toc73548051"/>
      <w:bookmarkStart w:id="74" w:name="_Toc135131483"/>
      <w:bookmarkStart w:id="75" w:name="_Toc134612645"/>
      <w:bookmarkStart w:id="76" w:name="_Toc228286539"/>
      <w:bookmarkStart w:id="77" w:name="_Ref228883728"/>
      <w:bookmarkStart w:id="78" w:name="_Toc235518189"/>
      <w:r w:rsidRPr="0009740C">
        <w:t>Livrables attendus</w:t>
      </w:r>
      <w:bookmarkEnd w:id="73"/>
      <w:bookmarkEnd w:id="74"/>
      <w:bookmarkEnd w:id="75"/>
      <w:bookmarkEnd w:id="76"/>
      <w:bookmarkEnd w:id="77"/>
      <w:bookmarkEnd w:id="78"/>
    </w:p>
    <w:p w14:paraId="29339F28" w14:textId="3212BBB6" w:rsidR="0018647D" w:rsidRDefault="00A0019B" w:rsidP="0018647D">
      <w:r w:rsidRPr="00A0019B">
        <w:t>En complément des livrables</w:t>
      </w:r>
      <w:r w:rsidR="00DC0B81">
        <w:t xml:space="preserve"> attendus</w:t>
      </w:r>
      <w:r w:rsidRPr="00A0019B">
        <w:t xml:space="preserve"> prévus aux articles</w:t>
      </w:r>
      <w:r w:rsidR="003E5A77">
        <w:t xml:space="preserve"> du chapitre 3</w:t>
      </w:r>
      <w:r w:rsidRPr="00A0019B">
        <w:t>, des précisions sont apportées ci-après</w:t>
      </w:r>
      <w:r w:rsidR="003E5A77">
        <w:t>.</w:t>
      </w:r>
    </w:p>
    <w:p w14:paraId="4C84A891" w14:textId="77777777" w:rsidR="00A0019B" w:rsidRPr="0018647D" w:rsidRDefault="00A0019B" w:rsidP="0018647D"/>
    <w:p w14:paraId="3DA82699" w14:textId="77777777" w:rsidR="00BE2DCC" w:rsidRPr="00685AD3" w:rsidRDefault="00BE2DCC" w:rsidP="00685AD3">
      <w:pPr>
        <w:pStyle w:val="Titre3"/>
      </w:pPr>
      <w:bookmarkStart w:id="79" w:name="_Toc135131484"/>
      <w:bookmarkStart w:id="80" w:name="_Toc134612646"/>
      <w:bookmarkStart w:id="81" w:name="_Toc228286540"/>
      <w:bookmarkStart w:id="82" w:name="_Toc235518190"/>
      <w:r w:rsidRPr="00685AD3">
        <w:lastRenderedPageBreak/>
        <w:t>Rapports</w:t>
      </w:r>
      <w:bookmarkEnd w:id="79"/>
      <w:bookmarkEnd w:id="80"/>
      <w:bookmarkEnd w:id="81"/>
      <w:bookmarkEnd w:id="82"/>
    </w:p>
    <w:p w14:paraId="48D57436" w14:textId="7AE698FD" w:rsidR="00685AD3" w:rsidRDefault="00623C05" w:rsidP="00BE2DCC">
      <w:pPr>
        <w:spacing w:before="120"/>
      </w:pPr>
      <w:r>
        <w:tab/>
      </w:r>
      <w:r w:rsidR="00BE2DCC" w:rsidRPr="0009740C">
        <w:t xml:space="preserve">Le prestataire produira à la fin de chaque phase d’étude les livrables identifiés au chapitre </w:t>
      </w:r>
      <w:r w:rsidR="006D2A8D">
        <w:fldChar w:fldCharType="begin"/>
      </w:r>
      <w:r w:rsidR="006D2A8D">
        <w:instrText xml:space="preserve"> REF _Ref228958035 \r \h </w:instrText>
      </w:r>
      <w:r w:rsidR="006D2A8D">
        <w:fldChar w:fldCharType="separate"/>
      </w:r>
      <w:r w:rsidR="00005975">
        <w:t>3</w:t>
      </w:r>
      <w:r w:rsidR="006D2A8D">
        <w:fldChar w:fldCharType="end"/>
      </w:r>
      <w:r w:rsidR="00BE2DCC" w:rsidRPr="0009740C">
        <w:t xml:space="preserve">. S’agissant d’une démarche itérative, ces livrables pourront être amenés à évoluer. </w:t>
      </w:r>
    </w:p>
    <w:p w14:paraId="76DD8229" w14:textId="341248F8" w:rsidR="00BE2DCC" w:rsidRPr="0009740C" w:rsidRDefault="00623C05" w:rsidP="00BE2DCC">
      <w:pPr>
        <w:spacing w:before="120"/>
        <w:rPr>
          <w:b/>
        </w:rPr>
      </w:pPr>
      <w:r>
        <w:rPr>
          <w:b/>
        </w:rPr>
        <w:tab/>
      </w:r>
      <w:r w:rsidR="00BE2DCC" w:rsidRPr="0009740C">
        <w:rPr>
          <w:b/>
        </w:rPr>
        <w:t>Le groupement remettra donc à la maitrise d’ouvrage l’ensemble des livrables dans leur version définitive à l’issue de l’étude.</w:t>
      </w:r>
    </w:p>
    <w:p w14:paraId="2AD76325" w14:textId="77777777" w:rsidR="00BE2DCC" w:rsidRPr="0009740C" w:rsidRDefault="00BE2DCC" w:rsidP="00BE2DCC"/>
    <w:p w14:paraId="1CA7F3EE" w14:textId="2BE38CBD" w:rsidR="00BE2DCC" w:rsidRPr="0009740C" w:rsidRDefault="00623C05" w:rsidP="006D2A8D">
      <w:r>
        <w:tab/>
      </w:r>
      <w:r w:rsidR="00BE2DCC" w:rsidRPr="0009740C">
        <w:t>Chaque rapport fera l’objet d’une indexation permettant de déterminer sa situation au regard du processus de validation et d’assurer la traçabilité des différentes versions. Il sera remis au maître d’ouvrage en version numérique aux formats compatibles Office (.docx, .</w:t>
      </w:r>
      <w:proofErr w:type="spellStart"/>
      <w:r w:rsidR="00BE2DCC" w:rsidRPr="0009740C">
        <w:t>xls</w:t>
      </w:r>
      <w:proofErr w:type="spellEnd"/>
      <w:r w:rsidR="00BE2DCC" w:rsidRPr="0009740C">
        <w:t>…)</w:t>
      </w:r>
      <w:r w:rsidR="006D2A8D">
        <w:t xml:space="preserve"> et</w:t>
      </w:r>
      <w:r w:rsidR="00BE2DCC" w:rsidRPr="0009740C">
        <w:t xml:space="preserve"> Adobe (.</w:t>
      </w:r>
      <w:r w:rsidR="00C97E42" w:rsidRPr="0009740C">
        <w:t>PDF</w:t>
      </w:r>
      <w:r w:rsidR="00BE2DCC" w:rsidRPr="0009740C">
        <w:t xml:space="preserve">). </w:t>
      </w:r>
    </w:p>
    <w:p w14:paraId="7245BF3C" w14:textId="77777777" w:rsidR="00BE2DCC" w:rsidRPr="0009740C" w:rsidRDefault="00BE2DCC" w:rsidP="00BE2DCC"/>
    <w:p w14:paraId="78C64F76" w14:textId="77777777" w:rsidR="00BE2DCC" w:rsidRPr="00685AD3" w:rsidRDefault="00BE2DCC" w:rsidP="00685AD3">
      <w:pPr>
        <w:pStyle w:val="Titre3"/>
      </w:pPr>
      <w:bookmarkStart w:id="83" w:name="_Toc135131485"/>
      <w:bookmarkStart w:id="84" w:name="_Toc134612647"/>
      <w:bookmarkStart w:id="85" w:name="_Toc228286541"/>
      <w:bookmarkStart w:id="86" w:name="_Toc235518191"/>
      <w:r w:rsidRPr="00685AD3">
        <w:t>Rendu des cartographies sous SIG</w:t>
      </w:r>
      <w:bookmarkEnd w:id="83"/>
      <w:bookmarkEnd w:id="84"/>
      <w:bookmarkEnd w:id="85"/>
      <w:bookmarkEnd w:id="86"/>
    </w:p>
    <w:p w14:paraId="63F4E9AE" w14:textId="3CE7EA4D" w:rsidR="006D2A8D" w:rsidRDefault="00623C05" w:rsidP="006D2A8D">
      <w:r>
        <w:tab/>
      </w:r>
      <w:r w:rsidR="006D2A8D">
        <w:t xml:space="preserve">L'ensemble des cartographies sera restitué sous la forme d'un </w:t>
      </w:r>
      <w:proofErr w:type="spellStart"/>
      <w:r w:rsidR="006D2A8D">
        <w:t>visualiseur</w:t>
      </w:r>
      <w:proofErr w:type="spellEnd"/>
      <w:r w:rsidR="006D2A8D">
        <w:t xml:space="preserve"> cartographique utilisable sans logiciel SIG spécifique, permettant une consultation autonome des données. Les cartographies seront également produites dans un </w:t>
      </w:r>
      <w:r w:rsidR="006D2A8D" w:rsidRPr="00EA1E8C">
        <w:t>format compatible avec les outils utilisés par le GPMG en tant que maître d'ouvrage.</w:t>
      </w:r>
      <w:r w:rsidR="0071731C" w:rsidRPr="00EA1E8C">
        <w:t xml:space="preserve"> </w:t>
      </w:r>
      <w:r w:rsidR="006D2A8D" w:rsidRPr="00EA1E8C">
        <w:t>Chaque carte sera produite à une</w:t>
      </w:r>
      <w:r w:rsidR="006D2A8D">
        <w:t xml:space="preserve"> échelle adaptée à son objet et fournie en format vectoriel réutilisable par le GPMG.</w:t>
      </w:r>
    </w:p>
    <w:p w14:paraId="7757F4AC" w14:textId="77777777" w:rsidR="0071731C" w:rsidRDefault="0071731C" w:rsidP="006D2A8D"/>
    <w:p w14:paraId="45B5AEE6" w14:textId="6707C860" w:rsidR="006D2A8D" w:rsidRDefault="006D2A8D" w:rsidP="006D2A8D">
      <w:r>
        <w:t>Les données géographiques et métadonnées associées seront livrées selon les formats suivants :</w:t>
      </w:r>
    </w:p>
    <w:p w14:paraId="66037C9A" w14:textId="77777777" w:rsidR="006D2A8D" w:rsidRDefault="006D2A8D" w:rsidP="006D2A8D"/>
    <w:p w14:paraId="66BE1642" w14:textId="1F11E94C" w:rsidR="00F34EDE" w:rsidRDefault="00F34EDE" w:rsidP="00E45AE5">
      <w:pPr>
        <w:pStyle w:val="Paragraphedeliste"/>
        <w:numPr>
          <w:ilvl w:val="0"/>
          <w:numId w:val="50"/>
        </w:numPr>
      </w:pPr>
      <w:r>
        <w:t xml:space="preserve">Le système de référence RGFG95/UTM </w:t>
      </w:r>
    </w:p>
    <w:p w14:paraId="2ED011FD" w14:textId="5A1B5CA5" w:rsidR="006D2A8D" w:rsidRDefault="006D2A8D" w:rsidP="00E45AE5">
      <w:pPr>
        <w:pStyle w:val="Paragraphedeliste"/>
        <w:numPr>
          <w:ilvl w:val="0"/>
          <w:numId w:val="50"/>
        </w:numPr>
      </w:pPr>
      <w:r>
        <w:t>Shapefile (.</w:t>
      </w:r>
      <w:proofErr w:type="spellStart"/>
      <w:r>
        <w:t>shp</w:t>
      </w:r>
      <w:proofErr w:type="spellEnd"/>
      <w:r>
        <w:t>) accompagné de sa base de données attributaire le cas échéant ;</w:t>
      </w:r>
    </w:p>
    <w:p w14:paraId="7F4EDBEA" w14:textId="77777777" w:rsidR="006D2A8D" w:rsidRDefault="006D2A8D" w:rsidP="00E45AE5">
      <w:pPr>
        <w:pStyle w:val="Paragraphedeliste"/>
        <w:numPr>
          <w:ilvl w:val="0"/>
          <w:numId w:val="50"/>
        </w:numPr>
      </w:pPr>
      <w:r>
        <w:t>QGIS et AutoCAD : les couches seront fournies dans ces deux formats, avec une vérification préalable de leur compatibilité avec le logiciel utilisé par le GPMG ;</w:t>
      </w:r>
    </w:p>
    <w:p w14:paraId="0F57AB61" w14:textId="77777777" w:rsidR="006D2A8D" w:rsidRDefault="006D2A8D" w:rsidP="00E45AE5">
      <w:pPr>
        <w:pStyle w:val="Paragraphedeliste"/>
        <w:numPr>
          <w:ilvl w:val="0"/>
          <w:numId w:val="50"/>
        </w:numPr>
      </w:pPr>
      <w:r>
        <w:t>Fichier de métadonnées au format Excel, décrivant le contenu et la signification de chaque champ des couches shapefile.</w:t>
      </w:r>
    </w:p>
    <w:p w14:paraId="31565605" w14:textId="77777777" w:rsidR="006D2A8D" w:rsidRDefault="006D2A8D" w:rsidP="006D2A8D"/>
    <w:p w14:paraId="582ED6FB" w14:textId="02285BC4" w:rsidR="006D2A8D" w:rsidRDefault="00FA4954" w:rsidP="006D2A8D">
      <w:r>
        <w:tab/>
      </w:r>
      <w:r w:rsidR="006D2A8D">
        <w:t>Les données géolocalisées seront produites dans le strict respect des règles et bonnes pratiques de la géomatique, en veillant notamment à la cohérence topologique des couches produites. L'ensemble des couches d'information sera fourni dans le système de projection adapté à la Guyane (projection légale en vigueur sur le territoire).</w:t>
      </w:r>
    </w:p>
    <w:p w14:paraId="0B5D1AFE" w14:textId="61552007" w:rsidR="00BE2DCC" w:rsidRDefault="00FA4954" w:rsidP="00BE2DCC">
      <w:r>
        <w:tab/>
      </w:r>
      <w:r w:rsidR="006D2A8D">
        <w:t>Le prestataire s'assurera, avant livraison, que l'ensemble des fichiers SIG est lisible et exploitable avec les logiciels dont dispose le GPMG.</w:t>
      </w:r>
    </w:p>
    <w:p w14:paraId="2B018CD2" w14:textId="77777777" w:rsidR="006D2A8D" w:rsidRPr="0009740C" w:rsidRDefault="006D2A8D" w:rsidP="00BE2DCC"/>
    <w:p w14:paraId="0DE13D52" w14:textId="17B38140" w:rsidR="00BE2DCC" w:rsidRPr="0009740C" w:rsidRDefault="00BE2DCC" w:rsidP="004B7D23">
      <w:pPr>
        <w:pStyle w:val="Titre3"/>
      </w:pPr>
      <w:bookmarkStart w:id="87" w:name="_Toc135131486"/>
      <w:bookmarkStart w:id="88" w:name="_Toc134612648"/>
      <w:bookmarkStart w:id="89" w:name="_Toc73548052"/>
      <w:bookmarkStart w:id="90" w:name="_Toc228286542"/>
      <w:bookmarkStart w:id="91" w:name="_Toc235518192"/>
      <w:r w:rsidRPr="0009740C">
        <w:t xml:space="preserve">Conditions de </w:t>
      </w:r>
      <w:r w:rsidRPr="004B7D23">
        <w:t>réception</w:t>
      </w:r>
      <w:r w:rsidRPr="0009740C">
        <w:t xml:space="preserve"> des études</w:t>
      </w:r>
      <w:bookmarkEnd w:id="87"/>
      <w:bookmarkEnd w:id="88"/>
      <w:bookmarkEnd w:id="89"/>
      <w:bookmarkEnd w:id="90"/>
      <w:bookmarkEnd w:id="91"/>
      <w:r w:rsidRPr="0009740C">
        <w:t xml:space="preserve"> </w:t>
      </w:r>
    </w:p>
    <w:p w14:paraId="14FA2B5D" w14:textId="6BE6BAE2" w:rsidR="00BE2DCC" w:rsidRPr="0009740C" w:rsidRDefault="00FA4954" w:rsidP="00BE2DCC">
      <w:r>
        <w:tab/>
      </w:r>
      <w:r w:rsidR="00BE2DCC" w:rsidRPr="0009740C">
        <w:t>Chaque rapport d’études spécifique accompagné d’un support de présentation en réunion sera transmis au maître d’ouvrage et à ses assistants dans un délai de 10 jours calendaires préalable à sa présentation au maître d’ouvrage (ou au COPIL en charge du suivi de l’étude) lors d’une réunion particulière. En cas de manquement à ce délai la réunion pourra être ajournée sine die par le maître d’ouvrage.</w:t>
      </w:r>
    </w:p>
    <w:p w14:paraId="5C5E4794" w14:textId="0D9C56C2" w:rsidR="00BE2DCC" w:rsidRPr="0009740C" w:rsidRDefault="00FA4954" w:rsidP="00BE2DCC">
      <w:r>
        <w:tab/>
      </w:r>
      <w:r w:rsidR="00BE2DCC" w:rsidRPr="0009740C">
        <w:t>À l’issue de la réunion de présentation de l’étude le maître d’ouvrage (ou le COPIL) se prononcera sur la recevabilité de l’étude ou accordera un délai de correction, défini en accord avec le titulaire du marché, et établi en fonction de l’ampleur des modifications et compléments à apporter au document. À l’issue de ce délai, le document corrigé sera adressé au maître d’ouvrage qui se prononcera définitivement sur sa validité dans un délai de 15 jours calendaires après réception ou demandera la tenue d’une nouvelle réunion dédiée à cette étude particulière.</w:t>
      </w:r>
    </w:p>
    <w:p w14:paraId="27ECECD5" w14:textId="41B617EF" w:rsidR="00BE2DCC" w:rsidRDefault="00FA4954" w:rsidP="00BE2DCC">
      <w:r>
        <w:tab/>
      </w:r>
      <w:r w:rsidR="00BE2DCC" w:rsidRPr="0009740C">
        <w:t>Le rapport définitif sera soumis au maitre d’ouvrage dans un délai de 15 jours calendaires avant la tenue d’une réunion particulière de présentation. L’acceptation de l’étude par le maître d’ouvrage (ou le COPIL de suivi de l’étude), après éventuelles corrections, définira l’achèvement de la prestation.</w:t>
      </w:r>
    </w:p>
    <w:p w14:paraId="01C10E82" w14:textId="77777777" w:rsidR="007C23DB" w:rsidRPr="0009740C" w:rsidRDefault="007C23DB" w:rsidP="00BE2DCC"/>
    <w:p w14:paraId="474668B7" w14:textId="70FF0323" w:rsidR="00BE2DCC" w:rsidRPr="0009740C" w:rsidRDefault="00FA4954" w:rsidP="00BE2DCC">
      <w:r>
        <w:tab/>
      </w:r>
      <w:r w:rsidR="00BE2DCC" w:rsidRPr="0009740C">
        <w:t>Le prestataire veillera à être particulièrement vigilant concernant la qualité rédactionnelle, fonctionnelle et visuelle des documents produits. Il sera tenu de reprendre tous documents jusqu’à validation définitive par le maître d’ouvrage et jusqu’à réalisation du rapport final de l’étude. La mise en page et la présentation des cartes devront être cohérentes et adaptées que ce soit entre elles ou par rapport à l’ensemble du document.</w:t>
      </w:r>
    </w:p>
    <w:p w14:paraId="5641F159" w14:textId="5D430A2E" w:rsidR="00BE2DCC" w:rsidRPr="0009740C" w:rsidRDefault="00BE2DCC" w:rsidP="00BE2DCC">
      <w:pPr>
        <w:pStyle w:val="Titre2"/>
      </w:pPr>
      <w:bookmarkStart w:id="92" w:name="_Toc135131489"/>
      <w:bookmarkStart w:id="93" w:name="_Toc228286545"/>
      <w:bookmarkStart w:id="94" w:name="_Toc235518193"/>
      <w:r w:rsidRPr="0009740C">
        <w:lastRenderedPageBreak/>
        <w:t>Pièces jointes pour l’élaboration de l’offre</w:t>
      </w:r>
      <w:bookmarkEnd w:id="92"/>
      <w:bookmarkEnd w:id="93"/>
      <w:bookmarkEnd w:id="94"/>
    </w:p>
    <w:p w14:paraId="3AD4B47B" w14:textId="2B4E6EA0" w:rsidR="00BE2DCC" w:rsidRPr="0009740C" w:rsidRDefault="00BE2DCC" w:rsidP="00E45AE5">
      <w:pPr>
        <w:pStyle w:val="Paragraphedeliste"/>
        <w:numPr>
          <w:ilvl w:val="0"/>
          <w:numId w:val="43"/>
        </w:numPr>
        <w:suppressAutoHyphens/>
        <w:spacing w:before="240" w:after="200" w:line="276" w:lineRule="auto"/>
        <w:rPr>
          <w:rFonts w:cstheme="minorHAnsi"/>
        </w:rPr>
      </w:pPr>
      <w:r w:rsidRPr="0009740C">
        <w:rPr>
          <w:rFonts w:cstheme="minorHAnsi"/>
        </w:rPr>
        <w:t xml:space="preserve">Amélioration de la résilience du Grand port maritime de la </w:t>
      </w:r>
      <w:r w:rsidR="003574C2">
        <w:rPr>
          <w:rFonts w:cstheme="minorHAnsi"/>
        </w:rPr>
        <w:t>Guyane</w:t>
      </w:r>
      <w:r w:rsidRPr="0009740C">
        <w:rPr>
          <w:rFonts w:cstheme="minorHAnsi"/>
        </w:rPr>
        <w:t xml:space="preserve"> – </w:t>
      </w:r>
      <w:r w:rsidR="003574C2">
        <w:rPr>
          <w:rFonts w:cstheme="minorHAnsi"/>
        </w:rPr>
        <w:t>Phase</w:t>
      </w:r>
      <w:r w:rsidRPr="0009740C">
        <w:rPr>
          <w:rFonts w:cstheme="minorHAnsi"/>
        </w:rPr>
        <w:t xml:space="preserve"> 1 – Définition des objectifs, des périmètres et de la gouvernance, Cerema, 202</w:t>
      </w:r>
      <w:r w:rsidR="003574C2">
        <w:rPr>
          <w:rFonts w:cstheme="minorHAnsi"/>
        </w:rPr>
        <w:t>5</w:t>
      </w:r>
      <w:r w:rsidRPr="0009740C">
        <w:rPr>
          <w:rFonts w:cstheme="minorHAnsi"/>
        </w:rPr>
        <w:t>.</w:t>
      </w:r>
    </w:p>
    <w:p w14:paraId="0D1CA1A9" w14:textId="22AD4E89" w:rsidR="00BE2DCC" w:rsidRDefault="00BE2DCC" w:rsidP="00BE2DCC">
      <w:pPr>
        <w:ind w:left="360"/>
      </w:pPr>
      <w:r w:rsidRPr="0009740C">
        <w:t>D’autres documents pourront être fournis par le GPMG pour la réalisation de l’étude.</w:t>
      </w:r>
    </w:p>
    <w:p w14:paraId="70FEB390" w14:textId="65D5F56F" w:rsidR="00D56722" w:rsidRDefault="003D2E4E" w:rsidP="00D56722">
      <w:pPr>
        <w:ind w:left="360"/>
      </w:pPr>
      <w:r>
        <w:t>Le GPMG s’engage à fournir les données nécessaires transmissibles dans un délai de 15 jours après demande du prestataire.</w:t>
      </w:r>
    </w:p>
    <w:p w14:paraId="3D410557" w14:textId="7D6A77C6" w:rsidR="00D56722" w:rsidRDefault="00D56722">
      <w:pPr>
        <w:jc w:val="left"/>
      </w:pPr>
      <w:r>
        <w:br w:type="page"/>
      </w:r>
    </w:p>
    <w:p w14:paraId="0B4E746B" w14:textId="71659327" w:rsidR="0035188E" w:rsidRDefault="00BE2DCC" w:rsidP="0035188E">
      <w:pPr>
        <w:pStyle w:val="Titre2"/>
        <w:numPr>
          <w:ilvl w:val="0"/>
          <w:numId w:val="0"/>
        </w:numPr>
        <w:tabs>
          <w:tab w:val="left" w:pos="2985"/>
        </w:tabs>
        <w:ind w:left="576"/>
      </w:pPr>
      <w:bookmarkStart w:id="95" w:name="_Toc235518194"/>
      <w:r w:rsidRPr="006C06B3">
        <w:lastRenderedPageBreak/>
        <w:t>Annexe</w:t>
      </w:r>
      <w:r w:rsidR="0035188E" w:rsidRPr="006C06B3">
        <w:t xml:space="preserve"> - </w:t>
      </w:r>
      <w:r w:rsidR="007F25C6" w:rsidRPr="006C06B3">
        <w:t>Exemple</w:t>
      </w:r>
      <w:r w:rsidR="0035188E" w:rsidRPr="006C06B3">
        <w:t xml:space="preserve"> de fiche</w:t>
      </w:r>
      <w:r w:rsidR="007F25C6" w:rsidRPr="006C06B3">
        <w:t xml:space="preserve"> type </w:t>
      </w:r>
      <w:r w:rsidR="0035188E" w:rsidRPr="006C06B3">
        <w:t>mesure d’adaptation (avec volet Synergies Adaptation / Atténuation)</w:t>
      </w:r>
      <w:bookmarkEnd w:id="95"/>
    </w:p>
    <w:p w14:paraId="73F99B81" w14:textId="77777777" w:rsidR="0035188E" w:rsidRDefault="0035188E" w:rsidP="0035188E">
      <w:pPr>
        <w:pStyle w:val="Titre2"/>
        <w:numPr>
          <w:ilvl w:val="0"/>
          <w:numId w:val="0"/>
        </w:numPr>
        <w:tabs>
          <w:tab w:val="left" w:pos="2985"/>
        </w:tabs>
        <w:ind w:left="576"/>
      </w:pPr>
    </w:p>
    <w:p w14:paraId="0B825DFC" w14:textId="77777777" w:rsidR="0035188E" w:rsidRPr="0016063A" w:rsidRDefault="0035188E" w:rsidP="0035188E">
      <w:pPr>
        <w:spacing w:before="100" w:beforeAutospacing="1" w:after="100" w:afterAutospacing="1"/>
        <w:rPr>
          <w:rFonts w:ascii="Times New Roman" w:eastAsia="Times New Roman" w:hAnsi="Times New Roman" w:cs="Times New Roman"/>
          <w:lang w:eastAsia="fr-FR"/>
        </w:rPr>
      </w:pPr>
      <w:r w:rsidRPr="0016063A">
        <w:rPr>
          <w:rFonts w:ascii="Times New Roman" w:eastAsia="Times New Roman" w:hAnsi="Times New Roman" w:cs="Times New Roman"/>
          <w:b/>
          <w:bCs/>
          <w:lang w:eastAsia="fr-FR"/>
        </w:rPr>
        <w:t>Fiche n° :</w:t>
      </w:r>
      <w:r w:rsidRPr="0016063A">
        <w:rPr>
          <w:rFonts w:ascii="Times New Roman" w:eastAsia="Times New Roman" w:hAnsi="Times New Roman" w:cs="Times New Roman"/>
          <w:lang w:eastAsia="fr-FR"/>
        </w:rPr>
        <w:t xml:space="preserve"> XX</w:t>
      </w:r>
      <w:r w:rsidRPr="0016063A">
        <w:rPr>
          <w:rFonts w:ascii="Times New Roman" w:eastAsia="Times New Roman" w:hAnsi="Times New Roman" w:cs="Times New Roman"/>
          <w:lang w:eastAsia="fr-FR"/>
        </w:rPr>
        <w:t> </w:t>
      </w:r>
      <w:r w:rsidRPr="0016063A">
        <w:rPr>
          <w:rFonts w:ascii="Times New Roman" w:eastAsia="Times New Roman" w:hAnsi="Times New Roman" w:cs="Times New Roman"/>
          <w:lang w:eastAsia="fr-FR"/>
        </w:rPr>
        <w:t> </w:t>
      </w:r>
      <w:r w:rsidRPr="0016063A">
        <w:rPr>
          <w:rFonts w:ascii="Times New Roman" w:eastAsia="Times New Roman" w:hAnsi="Times New Roman" w:cs="Times New Roman"/>
          <w:b/>
          <w:bCs/>
          <w:lang w:eastAsia="fr-FR"/>
        </w:rPr>
        <w:t>Nom de la mesure :</w:t>
      </w:r>
      <w:r w:rsidRPr="0016063A">
        <w:rPr>
          <w:rFonts w:ascii="Times New Roman" w:eastAsia="Times New Roman" w:hAnsi="Times New Roman" w:cs="Times New Roman"/>
          <w:lang w:eastAsia="fr-FR"/>
        </w:rPr>
        <w:t xml:space="preserve"> [Titre clair et concis]</w:t>
      </w:r>
    </w:p>
    <w:tbl>
      <w:tblPr>
        <w:tblW w:w="0" w:type="auto"/>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544"/>
        <w:gridCol w:w="6434"/>
      </w:tblGrid>
      <w:tr w:rsidR="0035188E" w:rsidRPr="0016063A" w14:paraId="7536BD37" w14:textId="77777777" w:rsidTr="0035188E">
        <w:trPr>
          <w:tblHeader/>
          <w:tblCellSpacing w:w="15" w:type="dxa"/>
        </w:trPr>
        <w:tc>
          <w:tcPr>
            <w:tcW w:w="3499" w:type="dxa"/>
            <w:vAlign w:val="center"/>
            <w:hideMark/>
          </w:tcPr>
          <w:p w14:paraId="235C4C9D" w14:textId="77777777" w:rsidR="0035188E" w:rsidRPr="0016063A" w:rsidRDefault="0035188E" w:rsidP="00333588">
            <w:pPr>
              <w:jc w:val="center"/>
              <w:rPr>
                <w:rFonts w:ascii="Times New Roman" w:eastAsia="Times New Roman" w:hAnsi="Times New Roman" w:cs="Times New Roman"/>
                <w:b/>
                <w:bCs/>
                <w:sz w:val="20"/>
                <w:szCs w:val="20"/>
                <w:lang w:eastAsia="fr-FR"/>
              </w:rPr>
            </w:pPr>
            <w:r w:rsidRPr="0016063A">
              <w:rPr>
                <w:rFonts w:ascii="Times New Roman" w:eastAsia="Times New Roman" w:hAnsi="Times New Roman" w:cs="Times New Roman"/>
                <w:b/>
                <w:bCs/>
                <w:sz w:val="20"/>
                <w:szCs w:val="20"/>
                <w:lang w:eastAsia="fr-FR"/>
              </w:rPr>
              <w:t>Rubrique</w:t>
            </w:r>
          </w:p>
        </w:tc>
        <w:tc>
          <w:tcPr>
            <w:tcW w:w="6389" w:type="dxa"/>
            <w:vAlign w:val="center"/>
            <w:hideMark/>
          </w:tcPr>
          <w:p w14:paraId="26F3E220" w14:textId="77777777" w:rsidR="0035188E" w:rsidRPr="0016063A" w:rsidRDefault="0035188E" w:rsidP="00333588">
            <w:pPr>
              <w:jc w:val="center"/>
              <w:rPr>
                <w:rFonts w:ascii="Times New Roman" w:eastAsia="Times New Roman" w:hAnsi="Times New Roman" w:cs="Times New Roman"/>
                <w:b/>
                <w:bCs/>
                <w:sz w:val="20"/>
                <w:szCs w:val="20"/>
                <w:lang w:eastAsia="fr-FR"/>
              </w:rPr>
            </w:pPr>
            <w:r w:rsidRPr="0016063A">
              <w:rPr>
                <w:rFonts w:ascii="Times New Roman" w:eastAsia="Times New Roman" w:hAnsi="Times New Roman" w:cs="Times New Roman"/>
                <w:b/>
                <w:bCs/>
                <w:sz w:val="20"/>
                <w:szCs w:val="20"/>
                <w:lang w:eastAsia="fr-FR"/>
              </w:rPr>
              <w:t>Contenu</w:t>
            </w:r>
          </w:p>
        </w:tc>
      </w:tr>
      <w:tr w:rsidR="0035188E" w:rsidRPr="0016063A" w14:paraId="7A20E63B" w14:textId="77777777" w:rsidTr="0035188E">
        <w:trPr>
          <w:tblCellSpacing w:w="15" w:type="dxa"/>
        </w:trPr>
        <w:tc>
          <w:tcPr>
            <w:tcW w:w="3499" w:type="dxa"/>
            <w:vAlign w:val="center"/>
            <w:hideMark/>
          </w:tcPr>
          <w:p w14:paraId="5005CDC8"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Axe stratégique</w:t>
            </w:r>
          </w:p>
        </w:tc>
        <w:tc>
          <w:tcPr>
            <w:tcW w:w="6389" w:type="dxa"/>
            <w:vAlign w:val="center"/>
            <w:hideMark/>
          </w:tcPr>
          <w:p w14:paraId="09B45397"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Exploitation &amp; continuité des services </w:t>
            </w:r>
          </w:p>
          <w:p w14:paraId="65F78AD7"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Planification territoriale &amp; relations acteurs </w:t>
            </w:r>
          </w:p>
          <w:p w14:paraId="649642C7"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Surveillance &amp; gestion du patrimoine </w:t>
            </w:r>
          </w:p>
          <w:p w14:paraId="738CC2FA"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Programmation &amp; adaptation des investissements</w:t>
            </w:r>
          </w:p>
        </w:tc>
      </w:tr>
      <w:tr w:rsidR="0035188E" w:rsidRPr="0016063A" w14:paraId="786CCD47" w14:textId="77777777" w:rsidTr="0035188E">
        <w:trPr>
          <w:tblCellSpacing w:w="15" w:type="dxa"/>
        </w:trPr>
        <w:tc>
          <w:tcPr>
            <w:tcW w:w="3499" w:type="dxa"/>
            <w:vAlign w:val="center"/>
            <w:hideMark/>
          </w:tcPr>
          <w:p w14:paraId="5B2D578C"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Aléa(x) principal(aux) adressé(s)</w:t>
            </w:r>
          </w:p>
        </w:tc>
        <w:tc>
          <w:tcPr>
            <w:tcW w:w="6389" w:type="dxa"/>
            <w:vAlign w:val="center"/>
            <w:hideMark/>
          </w:tcPr>
          <w:p w14:paraId="75848846"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[Ex. : Montée du niveau de la mer / Températures élevées / Submersion marine]</w:t>
            </w:r>
          </w:p>
        </w:tc>
      </w:tr>
      <w:tr w:rsidR="0035188E" w:rsidRPr="0016063A" w14:paraId="4CE82985" w14:textId="77777777" w:rsidTr="0035188E">
        <w:trPr>
          <w:tblCellSpacing w:w="15" w:type="dxa"/>
        </w:trPr>
        <w:tc>
          <w:tcPr>
            <w:tcW w:w="3499" w:type="dxa"/>
            <w:vAlign w:val="center"/>
            <w:hideMark/>
          </w:tcPr>
          <w:p w14:paraId="010C13B5"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Actif / Fonctionnalité concerné(e)</w:t>
            </w:r>
          </w:p>
        </w:tc>
        <w:tc>
          <w:tcPr>
            <w:tcW w:w="6389" w:type="dxa"/>
            <w:vAlign w:val="center"/>
            <w:hideMark/>
          </w:tcPr>
          <w:p w14:paraId="475CC46B"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[Ex. : Quai conteneurs / Accès nautique / Terre-pleins / Alimentation électrique]</w:t>
            </w:r>
          </w:p>
        </w:tc>
      </w:tr>
      <w:tr w:rsidR="0035188E" w:rsidRPr="0016063A" w14:paraId="0501376E" w14:textId="77777777" w:rsidTr="0035188E">
        <w:trPr>
          <w:tblCellSpacing w:w="15" w:type="dxa"/>
        </w:trPr>
        <w:tc>
          <w:tcPr>
            <w:tcW w:w="3499" w:type="dxa"/>
            <w:vAlign w:val="center"/>
            <w:hideMark/>
          </w:tcPr>
          <w:p w14:paraId="018DA0CC"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Horizon principal</w:t>
            </w:r>
          </w:p>
        </w:tc>
        <w:tc>
          <w:tcPr>
            <w:tcW w:w="6389" w:type="dxa"/>
            <w:vAlign w:val="center"/>
            <w:hideMark/>
          </w:tcPr>
          <w:p w14:paraId="315E5E8B"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2050 (objectifs opérationnels &amp; PCA) </w:t>
            </w:r>
          </w:p>
          <w:p w14:paraId="0C5DC953"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2100 (prospective &amp; relocalisation)</w:t>
            </w:r>
          </w:p>
        </w:tc>
      </w:tr>
      <w:tr w:rsidR="0035188E" w:rsidRPr="0016063A" w14:paraId="2B03AECB" w14:textId="77777777" w:rsidTr="0035188E">
        <w:trPr>
          <w:tblCellSpacing w:w="15" w:type="dxa"/>
        </w:trPr>
        <w:tc>
          <w:tcPr>
            <w:tcW w:w="3499" w:type="dxa"/>
            <w:vAlign w:val="center"/>
            <w:hideMark/>
          </w:tcPr>
          <w:p w14:paraId="1AB8309F"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1. Description de la mesure</w:t>
            </w:r>
          </w:p>
        </w:tc>
        <w:tc>
          <w:tcPr>
            <w:tcW w:w="6389" w:type="dxa"/>
            <w:vAlign w:val="center"/>
            <w:hideMark/>
          </w:tcPr>
          <w:p w14:paraId="272E01B1"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[Description technique précise et concise (3-5 lignes max) + schéma ou photo si pertinent]</w:t>
            </w:r>
          </w:p>
        </w:tc>
      </w:tr>
      <w:tr w:rsidR="0035188E" w:rsidRPr="0016063A" w14:paraId="418E3DE1" w14:textId="77777777" w:rsidTr="0035188E">
        <w:trPr>
          <w:tblCellSpacing w:w="15" w:type="dxa"/>
        </w:trPr>
        <w:tc>
          <w:tcPr>
            <w:tcW w:w="3499" w:type="dxa"/>
            <w:vAlign w:val="center"/>
            <w:hideMark/>
          </w:tcPr>
          <w:p w14:paraId="47556884"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2. Bénéfices en Adaptation</w:t>
            </w:r>
          </w:p>
        </w:tc>
        <w:tc>
          <w:tcPr>
            <w:tcW w:w="6389" w:type="dxa"/>
            <w:vAlign w:val="center"/>
            <w:hideMark/>
          </w:tcPr>
          <w:p w14:paraId="32976C14"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Description des bénéfices : </w:t>
            </w:r>
          </w:p>
          <w:p w14:paraId="761A0E6F"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Niveau d’efficacité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Fort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Moyen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Faible </w:t>
            </w:r>
          </w:p>
          <w:p w14:paraId="60A8A9FD"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Réduction de vulnérabilité : [ex. : baisse de 80 % du risque de submersion]</w:t>
            </w:r>
          </w:p>
        </w:tc>
      </w:tr>
      <w:tr w:rsidR="0035188E" w:rsidRPr="0016063A" w14:paraId="2919787E" w14:textId="77777777" w:rsidTr="0035188E">
        <w:trPr>
          <w:tblCellSpacing w:w="15" w:type="dxa"/>
        </w:trPr>
        <w:tc>
          <w:tcPr>
            <w:tcW w:w="3499" w:type="dxa"/>
            <w:vAlign w:val="center"/>
            <w:hideMark/>
          </w:tcPr>
          <w:p w14:paraId="08E8BAF5"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 xml:space="preserve">3. Synergies et </w:t>
            </w:r>
            <w:proofErr w:type="spellStart"/>
            <w:r w:rsidRPr="0016063A">
              <w:rPr>
                <w:rFonts w:ascii="Times New Roman" w:eastAsia="Times New Roman" w:hAnsi="Times New Roman" w:cs="Times New Roman"/>
                <w:b/>
                <w:bCs/>
                <w:sz w:val="20"/>
                <w:szCs w:val="20"/>
                <w:lang w:eastAsia="fr-FR"/>
              </w:rPr>
              <w:t>co</w:t>
            </w:r>
            <w:proofErr w:type="spellEnd"/>
            <w:r w:rsidRPr="0016063A">
              <w:rPr>
                <w:rFonts w:ascii="Times New Roman" w:eastAsia="Times New Roman" w:hAnsi="Times New Roman" w:cs="Times New Roman"/>
                <w:b/>
                <w:bCs/>
                <w:sz w:val="20"/>
                <w:szCs w:val="20"/>
                <w:lang w:eastAsia="fr-FR"/>
              </w:rPr>
              <w:t>-bénéfices en Atténuation / Décarbonation</w:t>
            </w:r>
          </w:p>
        </w:tc>
        <w:tc>
          <w:tcPr>
            <w:tcW w:w="6389" w:type="dxa"/>
            <w:vAlign w:val="center"/>
            <w:hideMark/>
          </w:tcPr>
          <w:p w14:paraId="6358F0CA"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Réduction estimée de GES : … </w:t>
            </w:r>
            <w:proofErr w:type="spellStart"/>
            <w:r w:rsidRPr="0016063A">
              <w:rPr>
                <w:rFonts w:ascii="Times New Roman" w:eastAsia="Times New Roman" w:hAnsi="Times New Roman" w:cs="Times New Roman"/>
                <w:sz w:val="20"/>
                <w:szCs w:val="20"/>
                <w:lang w:eastAsia="fr-FR"/>
              </w:rPr>
              <w:t>tCO₂e</w:t>
            </w:r>
            <w:proofErr w:type="spellEnd"/>
            <w:r w:rsidRPr="0016063A">
              <w:rPr>
                <w:rFonts w:ascii="Times New Roman" w:eastAsia="Times New Roman" w:hAnsi="Times New Roman" w:cs="Times New Roman"/>
                <w:sz w:val="20"/>
                <w:szCs w:val="20"/>
                <w:lang w:eastAsia="fr-FR"/>
              </w:rPr>
              <w:t xml:space="preserve">/an (ordre de grandeur) </w:t>
            </w:r>
          </w:p>
          <w:p w14:paraId="661A6087"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Autres </w:t>
            </w:r>
            <w:proofErr w:type="spellStart"/>
            <w:r w:rsidRPr="0016063A">
              <w:rPr>
                <w:rFonts w:ascii="Times New Roman" w:eastAsia="Times New Roman" w:hAnsi="Times New Roman" w:cs="Times New Roman"/>
                <w:sz w:val="20"/>
                <w:szCs w:val="20"/>
                <w:lang w:eastAsia="fr-FR"/>
              </w:rPr>
              <w:t>co</w:t>
            </w:r>
            <w:proofErr w:type="spellEnd"/>
            <w:r w:rsidRPr="0016063A">
              <w:rPr>
                <w:rFonts w:ascii="Times New Roman" w:eastAsia="Times New Roman" w:hAnsi="Times New Roman" w:cs="Times New Roman"/>
                <w:sz w:val="20"/>
                <w:szCs w:val="20"/>
                <w:lang w:eastAsia="fr-FR"/>
              </w:rPr>
              <w:t xml:space="preserve">-bénéfices : </w:t>
            </w:r>
            <w:r w:rsidRPr="0016063A">
              <w:rPr>
                <w:rFonts w:ascii="Times New Roman" w:eastAsia="Times New Roman" w:hAnsi="Times New Roman" w:cs="Times New Roman"/>
                <w:sz w:val="20"/>
                <w:szCs w:val="20"/>
                <w:lang w:eastAsia="fr-FR"/>
              </w:rPr>
              <w:t> </w:t>
            </w:r>
          </w:p>
          <w:p w14:paraId="1CF61182"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Séquestration carbone </w:t>
            </w:r>
            <w:r w:rsidRPr="0016063A">
              <w:rPr>
                <w:rFonts w:ascii="Times New Roman" w:eastAsia="Times New Roman" w:hAnsi="Times New Roman" w:cs="Times New Roman"/>
                <w:sz w:val="20"/>
                <w:szCs w:val="20"/>
                <w:lang w:eastAsia="fr-FR"/>
              </w:rPr>
              <w:t> </w:t>
            </w:r>
          </w:p>
          <w:p w14:paraId="270A625F"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Production d’énergie renouvelable </w:t>
            </w:r>
            <w:r w:rsidRPr="0016063A">
              <w:rPr>
                <w:rFonts w:ascii="Times New Roman" w:eastAsia="Times New Roman" w:hAnsi="Times New Roman" w:cs="Times New Roman"/>
                <w:sz w:val="20"/>
                <w:szCs w:val="20"/>
                <w:lang w:eastAsia="fr-FR"/>
              </w:rPr>
              <w:t> </w:t>
            </w:r>
          </w:p>
          <w:p w14:paraId="546CAE8D"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Réduction consommation énergétique </w:t>
            </w:r>
            <w:r w:rsidRPr="0016063A">
              <w:rPr>
                <w:rFonts w:ascii="Times New Roman" w:eastAsia="Times New Roman" w:hAnsi="Times New Roman" w:cs="Times New Roman"/>
                <w:sz w:val="20"/>
                <w:szCs w:val="20"/>
                <w:lang w:eastAsia="fr-FR"/>
              </w:rPr>
              <w:t> </w:t>
            </w:r>
          </w:p>
          <w:p w14:paraId="68714178"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Économie circulaire / matériaux bas carbone </w:t>
            </w:r>
            <w:r w:rsidRPr="0016063A">
              <w:rPr>
                <w:rFonts w:ascii="Times New Roman" w:eastAsia="Times New Roman" w:hAnsi="Times New Roman" w:cs="Times New Roman"/>
                <w:sz w:val="20"/>
                <w:szCs w:val="20"/>
                <w:lang w:eastAsia="fr-FR"/>
              </w:rPr>
              <w:t> </w:t>
            </w:r>
            <w:r w:rsidRPr="0016063A">
              <w:rPr>
                <w:rFonts w:ascii="Times New Roman" w:eastAsia="Times New Roman" w:hAnsi="Times New Roman" w:cs="Times New Roman"/>
                <w:sz w:val="20"/>
                <w:szCs w:val="20"/>
                <w:lang w:eastAsia="fr-FR"/>
              </w:rPr>
              <w:t xml:space="preserve">◦ Autres : … </w:t>
            </w:r>
          </w:p>
          <w:p w14:paraId="5BE98829"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w:t>
            </w:r>
            <w:r w:rsidRPr="0016063A">
              <w:rPr>
                <w:rFonts w:ascii="Times New Roman" w:eastAsia="Times New Roman" w:hAnsi="Times New Roman" w:cs="Times New Roman"/>
                <w:b/>
                <w:bCs/>
                <w:sz w:val="20"/>
                <w:szCs w:val="20"/>
                <w:lang w:eastAsia="fr-FR"/>
              </w:rPr>
              <w:t>Niveau global de synergie</w:t>
            </w:r>
            <w:r w:rsidRPr="0016063A">
              <w:rPr>
                <w:rFonts w:ascii="Times New Roman" w:eastAsia="Times New Roman" w:hAnsi="Times New Roman" w:cs="Times New Roman"/>
                <w:sz w:val="20"/>
                <w:szCs w:val="20"/>
                <w:lang w:eastAsia="fr-FR"/>
              </w:rPr>
              <w:t xml:space="preserve">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Très fort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Fort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Moyen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Faible</w:t>
            </w:r>
          </w:p>
        </w:tc>
      </w:tr>
      <w:tr w:rsidR="0035188E" w:rsidRPr="0016063A" w14:paraId="06895D55" w14:textId="77777777" w:rsidTr="0035188E">
        <w:trPr>
          <w:tblCellSpacing w:w="15" w:type="dxa"/>
        </w:trPr>
        <w:tc>
          <w:tcPr>
            <w:tcW w:w="3499" w:type="dxa"/>
            <w:vAlign w:val="center"/>
            <w:hideMark/>
          </w:tcPr>
          <w:p w14:paraId="51304D51"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4. Antagonismes ou arbitrages identifiés</w:t>
            </w:r>
          </w:p>
        </w:tc>
        <w:tc>
          <w:tcPr>
            <w:tcW w:w="6389" w:type="dxa"/>
            <w:vAlign w:val="center"/>
            <w:hideMark/>
          </w:tcPr>
          <w:p w14:paraId="45130A92"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[Ex. : surcoût initial de 15 %, conflit d’usage foncier, augmentation de la maintenance…] Solutions d’arbitrage proposées : …</w:t>
            </w:r>
          </w:p>
        </w:tc>
      </w:tr>
      <w:tr w:rsidR="0035188E" w:rsidRPr="0016063A" w14:paraId="74A8B535" w14:textId="77777777" w:rsidTr="0035188E">
        <w:trPr>
          <w:tblCellSpacing w:w="15" w:type="dxa"/>
        </w:trPr>
        <w:tc>
          <w:tcPr>
            <w:tcW w:w="3499" w:type="dxa"/>
            <w:vAlign w:val="center"/>
            <w:hideMark/>
          </w:tcPr>
          <w:p w14:paraId="5ECE34A2"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5. Analyse économique</w:t>
            </w:r>
          </w:p>
        </w:tc>
        <w:tc>
          <w:tcPr>
            <w:tcW w:w="6389" w:type="dxa"/>
            <w:vAlign w:val="center"/>
            <w:hideMark/>
          </w:tcPr>
          <w:p w14:paraId="27C611E1"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Coût d’investissement estimé : … k€ • Coût de maintenance annuel : … k€/an • Bénéfices actualisés (dommages évités + </w:t>
            </w:r>
            <w:proofErr w:type="spellStart"/>
            <w:r w:rsidRPr="0016063A">
              <w:rPr>
                <w:rFonts w:ascii="Times New Roman" w:eastAsia="Times New Roman" w:hAnsi="Times New Roman" w:cs="Times New Roman"/>
                <w:sz w:val="20"/>
                <w:szCs w:val="20"/>
                <w:lang w:eastAsia="fr-FR"/>
              </w:rPr>
              <w:t>co</w:t>
            </w:r>
            <w:proofErr w:type="spellEnd"/>
            <w:r w:rsidRPr="0016063A">
              <w:rPr>
                <w:rFonts w:ascii="Times New Roman" w:eastAsia="Times New Roman" w:hAnsi="Times New Roman" w:cs="Times New Roman"/>
                <w:sz w:val="20"/>
                <w:szCs w:val="20"/>
                <w:lang w:eastAsia="fr-FR"/>
              </w:rPr>
              <w:t>-bénéfices carbone) : … k€ • Ratio coût/bénéfice : …</w:t>
            </w:r>
          </w:p>
        </w:tc>
      </w:tr>
      <w:tr w:rsidR="0035188E" w:rsidRPr="0016063A" w14:paraId="0F7EB8EC" w14:textId="77777777" w:rsidTr="0035188E">
        <w:trPr>
          <w:tblCellSpacing w:w="15" w:type="dxa"/>
        </w:trPr>
        <w:tc>
          <w:tcPr>
            <w:tcW w:w="3499" w:type="dxa"/>
            <w:vAlign w:val="center"/>
            <w:hideMark/>
          </w:tcPr>
          <w:p w14:paraId="073CB59B"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6. Calendrier de mise en œuvre proposé</w:t>
            </w:r>
          </w:p>
        </w:tc>
        <w:tc>
          <w:tcPr>
            <w:tcW w:w="6389" w:type="dxa"/>
            <w:vAlign w:val="center"/>
            <w:hideMark/>
          </w:tcPr>
          <w:p w14:paraId="3F0FBED2"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Court terme (2026-2030) : … </w:t>
            </w:r>
          </w:p>
          <w:p w14:paraId="5A184B04"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Moyen terme (2031-2050) : … </w:t>
            </w:r>
          </w:p>
          <w:p w14:paraId="7102B24A"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Long terme (2051-2100) : …</w:t>
            </w:r>
          </w:p>
        </w:tc>
      </w:tr>
      <w:tr w:rsidR="0035188E" w:rsidRPr="0016063A" w14:paraId="385CB8D8" w14:textId="77777777" w:rsidTr="0035188E">
        <w:trPr>
          <w:tblCellSpacing w:w="15" w:type="dxa"/>
        </w:trPr>
        <w:tc>
          <w:tcPr>
            <w:tcW w:w="3499" w:type="dxa"/>
            <w:vAlign w:val="center"/>
            <w:hideMark/>
          </w:tcPr>
          <w:p w14:paraId="0B88E8EA"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7. Acteurs / Maîtrise d’ouvrage</w:t>
            </w:r>
          </w:p>
        </w:tc>
        <w:tc>
          <w:tcPr>
            <w:tcW w:w="6389" w:type="dxa"/>
            <w:vAlign w:val="center"/>
            <w:hideMark/>
          </w:tcPr>
          <w:p w14:paraId="1E5C0ECF"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xml:space="preserve">• Maître d’ouvrage principal : … </w:t>
            </w:r>
          </w:p>
          <w:p w14:paraId="4CB0DEB6"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Partenaires à mobiliser : …</w:t>
            </w:r>
          </w:p>
        </w:tc>
      </w:tr>
      <w:tr w:rsidR="0035188E" w:rsidRPr="0016063A" w14:paraId="4E68ADE7" w14:textId="77777777" w:rsidTr="0035188E">
        <w:trPr>
          <w:tblCellSpacing w:w="15" w:type="dxa"/>
        </w:trPr>
        <w:tc>
          <w:tcPr>
            <w:tcW w:w="3499" w:type="dxa"/>
            <w:vAlign w:val="center"/>
            <w:hideMark/>
          </w:tcPr>
          <w:p w14:paraId="582C104E"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8. Indicateurs de suivi</w:t>
            </w:r>
          </w:p>
        </w:tc>
        <w:tc>
          <w:tcPr>
            <w:tcW w:w="6389" w:type="dxa"/>
            <w:vAlign w:val="center"/>
            <w:hideMark/>
          </w:tcPr>
          <w:p w14:paraId="2D7A785F"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 Indicateur 1 : … (cible : …) • Indicateur 2 : … (cible : …)</w:t>
            </w:r>
          </w:p>
        </w:tc>
      </w:tr>
      <w:tr w:rsidR="0035188E" w:rsidRPr="0016063A" w14:paraId="7ED31223" w14:textId="77777777" w:rsidTr="0035188E">
        <w:trPr>
          <w:tblCellSpacing w:w="15" w:type="dxa"/>
        </w:trPr>
        <w:tc>
          <w:tcPr>
            <w:tcW w:w="3499" w:type="dxa"/>
            <w:vAlign w:val="center"/>
            <w:hideMark/>
          </w:tcPr>
          <w:p w14:paraId="20E44525"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9. Études complémentaires nécessaires</w:t>
            </w:r>
          </w:p>
        </w:tc>
        <w:tc>
          <w:tcPr>
            <w:tcW w:w="6389" w:type="dxa"/>
            <w:vAlign w:val="center"/>
            <w:hideMark/>
          </w:tcPr>
          <w:p w14:paraId="703D6831"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sz w:val="20"/>
                <w:szCs w:val="20"/>
                <w:lang w:eastAsia="fr-FR"/>
              </w:rPr>
              <w:t>[Ex. : étude hydro-sédimentaire, étude de faisabilité technique, analyse financière détaillée…]</w:t>
            </w:r>
          </w:p>
        </w:tc>
      </w:tr>
      <w:tr w:rsidR="0035188E" w:rsidRPr="0016063A" w14:paraId="288A61C4" w14:textId="77777777" w:rsidTr="0035188E">
        <w:trPr>
          <w:tblCellSpacing w:w="15" w:type="dxa"/>
        </w:trPr>
        <w:tc>
          <w:tcPr>
            <w:tcW w:w="3499" w:type="dxa"/>
            <w:vAlign w:val="center"/>
            <w:hideMark/>
          </w:tcPr>
          <w:p w14:paraId="026BD01D"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Times New Roman" w:eastAsia="Times New Roman" w:hAnsi="Times New Roman" w:cs="Times New Roman"/>
                <w:b/>
                <w:bCs/>
                <w:sz w:val="20"/>
                <w:szCs w:val="20"/>
                <w:lang w:eastAsia="fr-FR"/>
              </w:rPr>
              <w:t>10. Niveau de maturité actuel</w:t>
            </w:r>
          </w:p>
        </w:tc>
        <w:tc>
          <w:tcPr>
            <w:tcW w:w="6389" w:type="dxa"/>
            <w:vAlign w:val="center"/>
            <w:hideMark/>
          </w:tcPr>
          <w:p w14:paraId="7D1BA4B3" w14:textId="77777777" w:rsidR="0035188E" w:rsidRPr="0016063A" w:rsidRDefault="0035188E" w:rsidP="00333588">
            <w:pPr>
              <w:rPr>
                <w:rFonts w:ascii="Times New Roman" w:eastAsia="Times New Roman" w:hAnsi="Times New Roman" w:cs="Times New Roman"/>
                <w:sz w:val="20"/>
                <w:szCs w:val="20"/>
                <w:lang w:eastAsia="fr-FR"/>
              </w:rPr>
            </w:pP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Faible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Moyen / </w:t>
            </w:r>
            <w:r w:rsidRPr="0016063A">
              <w:rPr>
                <w:rFonts w:ascii="Segoe UI Symbol" w:eastAsia="Times New Roman" w:hAnsi="Segoe UI Symbol" w:cs="Segoe UI Symbol"/>
                <w:sz w:val="20"/>
                <w:szCs w:val="20"/>
                <w:lang w:eastAsia="fr-FR"/>
              </w:rPr>
              <w:t>☐</w:t>
            </w:r>
            <w:r w:rsidRPr="0016063A">
              <w:rPr>
                <w:rFonts w:ascii="Times New Roman" w:eastAsia="Times New Roman" w:hAnsi="Times New Roman" w:cs="Times New Roman"/>
                <w:sz w:val="20"/>
                <w:szCs w:val="20"/>
                <w:lang w:eastAsia="fr-FR"/>
              </w:rPr>
              <w:t xml:space="preserve"> Élevé</w:t>
            </w:r>
          </w:p>
        </w:tc>
      </w:tr>
    </w:tbl>
    <w:p w14:paraId="5FD5549F" w14:textId="77777777" w:rsidR="0035188E" w:rsidRDefault="0035188E" w:rsidP="0035188E"/>
    <w:p w14:paraId="7342A4CC" w14:textId="6C36236A" w:rsidR="00BE2DCC" w:rsidRDefault="0035188E" w:rsidP="0035188E">
      <w:r>
        <w:tab/>
      </w:r>
    </w:p>
    <w:p w14:paraId="6ECA9004" w14:textId="6C03CCE1" w:rsidR="001E2D5E" w:rsidRDefault="001E2D5E" w:rsidP="0035188E">
      <w:pPr>
        <w:spacing w:before="100" w:beforeAutospacing="1" w:after="100" w:afterAutospacing="1"/>
      </w:pPr>
    </w:p>
    <w:p w14:paraId="68D7D570" w14:textId="3B2413B6" w:rsidR="001E2D5E" w:rsidRDefault="001E2D5E" w:rsidP="00951B5F">
      <w:pPr>
        <w:spacing w:before="100" w:beforeAutospacing="1" w:after="100" w:afterAutospacing="1"/>
      </w:pPr>
    </w:p>
    <w:p w14:paraId="1EEC8DD1" w14:textId="77777777" w:rsidR="006C08DB" w:rsidRDefault="006C08DB" w:rsidP="00EF7A50">
      <w:pPr>
        <w:spacing w:before="100" w:beforeAutospacing="1" w:after="100" w:afterAutospacing="1"/>
        <w:ind w:left="360"/>
      </w:pPr>
    </w:p>
    <w:sectPr w:rsidR="006C08DB" w:rsidSect="005F3CAA">
      <w:headerReference w:type="default" r:id="rId18"/>
      <w:footerReference w:type="default" r:id="rId19"/>
      <w:pgSz w:w="11906" w:h="16838"/>
      <w:pgMar w:top="964" w:right="964" w:bottom="964" w:left="964" w:header="907" w:footer="31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2801A" w14:textId="77777777" w:rsidR="00AC658D" w:rsidRDefault="00AC658D">
      <w:r>
        <w:separator/>
      </w:r>
    </w:p>
  </w:endnote>
  <w:endnote w:type="continuationSeparator" w:id="0">
    <w:p w14:paraId="50190B9F" w14:textId="77777777" w:rsidR="00AC658D" w:rsidRDefault="00AC65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altName w:val="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New Roman (Titres CS)">
    <w:charset w:val="00"/>
    <w:family w:val="auto"/>
    <w:pitch w:val="default"/>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3F642" w14:textId="77777777" w:rsidR="00716D4E" w:rsidRPr="00977AE0" w:rsidRDefault="00716D4E">
    <w:pPr>
      <w:pStyle w:val="Pieddepage"/>
      <w:jc w:val="left"/>
      <w:rPr>
        <w:color w:val="000000" w:themeColor="text1"/>
        <w:sz w:val="16"/>
        <w:szCs w:val="16"/>
      </w:rPr>
    </w:pPr>
    <w:r w:rsidRPr="00977AE0">
      <w:rPr>
        <w:color w:val="000000" w:themeColor="text1"/>
        <w:sz w:val="16"/>
        <w:szCs w:val="16"/>
      </w:rPr>
      <w:t>Produit conçu avec le système de management de la qualité certifié AFAQ ISO 9001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i/>
        <w:sz w:val="16"/>
        <w:szCs w:val="16"/>
      </w:rPr>
      <w:id w:val="242142209"/>
      <w:docPartObj>
        <w:docPartGallery w:val="Page Numbers (Bottom of Page)"/>
        <w:docPartUnique/>
      </w:docPartObj>
    </w:sdtPr>
    <w:sdtContent>
      <w:p w14:paraId="7940674B" w14:textId="0B5F37C0" w:rsidR="00C97E42" w:rsidRPr="00C97E42" w:rsidRDefault="00C97E42" w:rsidP="00C97E42">
        <w:pPr>
          <w:pStyle w:val="Pieddepage"/>
          <w:rPr>
            <w:rFonts w:asciiTheme="minorHAnsi" w:hAnsiTheme="minorHAnsi" w:cstheme="minorHAnsi"/>
            <w:i/>
            <w:sz w:val="16"/>
            <w:szCs w:val="16"/>
          </w:rPr>
        </w:pPr>
        <w:r>
          <w:rPr>
            <w:rFonts w:asciiTheme="minorHAnsi" w:hAnsiTheme="minorHAnsi" w:cstheme="minorHAnsi"/>
            <w:i/>
            <w:sz w:val="16"/>
            <w:szCs w:val="16"/>
          </w:rPr>
          <w:t>CCTP</w:t>
        </w:r>
        <w:r>
          <w:rPr>
            <w:rFonts w:asciiTheme="minorHAnsi" w:hAnsiTheme="minorHAnsi" w:cstheme="minorHAnsi"/>
            <w:i/>
            <w:sz w:val="16"/>
            <w:szCs w:val="16"/>
          </w:rPr>
          <w:tab/>
          <w:t>PAD-01-26</w:t>
        </w:r>
        <w:r>
          <w:rPr>
            <w:rFonts w:asciiTheme="minorHAnsi" w:hAnsiTheme="minorHAnsi" w:cstheme="minorHAnsi"/>
            <w:i/>
            <w:sz w:val="16"/>
            <w:szCs w:val="16"/>
          </w:rPr>
          <w:tab/>
        </w:r>
        <w:sdt>
          <w:sdtPr>
            <w:rPr>
              <w:rFonts w:asciiTheme="minorHAnsi" w:hAnsiTheme="minorHAnsi" w:cstheme="minorHAnsi"/>
              <w:i/>
              <w:sz w:val="16"/>
              <w:szCs w:val="16"/>
            </w:rPr>
            <w:id w:val="-1769616900"/>
            <w:docPartObj>
              <w:docPartGallery w:val="Page Numbers (Top of Page)"/>
              <w:docPartUnique/>
            </w:docPartObj>
          </w:sdtPr>
          <w:sdtContent>
            <w:r w:rsidRPr="00C97E42">
              <w:rPr>
                <w:rFonts w:asciiTheme="minorHAnsi" w:hAnsiTheme="minorHAnsi" w:cstheme="minorHAnsi"/>
                <w:i/>
                <w:sz w:val="16"/>
                <w:szCs w:val="16"/>
              </w:rPr>
              <w:t xml:space="preserve">Page </w:t>
            </w:r>
            <w:r w:rsidRPr="00C97E42">
              <w:rPr>
                <w:rFonts w:asciiTheme="minorHAnsi" w:hAnsiTheme="minorHAnsi" w:cstheme="minorHAnsi"/>
                <w:bCs/>
                <w:i/>
                <w:sz w:val="16"/>
                <w:szCs w:val="16"/>
              </w:rPr>
              <w:fldChar w:fldCharType="begin"/>
            </w:r>
            <w:r w:rsidRPr="00C97E42">
              <w:rPr>
                <w:rFonts w:asciiTheme="minorHAnsi" w:hAnsiTheme="minorHAnsi" w:cstheme="minorHAnsi"/>
                <w:bCs/>
                <w:i/>
                <w:sz w:val="16"/>
                <w:szCs w:val="16"/>
              </w:rPr>
              <w:instrText>PAGE</w:instrText>
            </w:r>
            <w:r w:rsidRPr="00C97E42">
              <w:rPr>
                <w:rFonts w:asciiTheme="minorHAnsi" w:hAnsiTheme="minorHAnsi" w:cstheme="minorHAnsi"/>
                <w:bCs/>
                <w:i/>
                <w:sz w:val="16"/>
                <w:szCs w:val="16"/>
              </w:rPr>
              <w:fldChar w:fldCharType="separate"/>
            </w:r>
            <w:r w:rsidRPr="00C97E42">
              <w:rPr>
                <w:rFonts w:asciiTheme="minorHAnsi" w:hAnsiTheme="minorHAnsi" w:cstheme="minorHAnsi"/>
                <w:bCs/>
                <w:i/>
                <w:sz w:val="16"/>
                <w:szCs w:val="16"/>
              </w:rPr>
              <w:t>2</w:t>
            </w:r>
            <w:r w:rsidRPr="00C97E42">
              <w:rPr>
                <w:rFonts w:asciiTheme="minorHAnsi" w:hAnsiTheme="minorHAnsi" w:cstheme="minorHAnsi"/>
                <w:bCs/>
                <w:i/>
                <w:sz w:val="16"/>
                <w:szCs w:val="16"/>
              </w:rPr>
              <w:fldChar w:fldCharType="end"/>
            </w:r>
            <w:r w:rsidRPr="00C97E42">
              <w:rPr>
                <w:rFonts w:asciiTheme="minorHAnsi" w:hAnsiTheme="minorHAnsi" w:cstheme="minorHAnsi"/>
                <w:i/>
                <w:sz w:val="16"/>
                <w:szCs w:val="16"/>
              </w:rPr>
              <w:t xml:space="preserve"> sur </w:t>
            </w:r>
            <w:r w:rsidRPr="00C97E42">
              <w:rPr>
                <w:rFonts w:asciiTheme="minorHAnsi" w:hAnsiTheme="minorHAnsi" w:cstheme="minorHAnsi"/>
                <w:bCs/>
                <w:i/>
                <w:sz w:val="16"/>
                <w:szCs w:val="16"/>
              </w:rPr>
              <w:fldChar w:fldCharType="begin"/>
            </w:r>
            <w:r w:rsidRPr="00C97E42">
              <w:rPr>
                <w:rFonts w:asciiTheme="minorHAnsi" w:hAnsiTheme="minorHAnsi" w:cstheme="minorHAnsi"/>
                <w:bCs/>
                <w:i/>
                <w:sz w:val="16"/>
                <w:szCs w:val="16"/>
              </w:rPr>
              <w:instrText>NUMPAGES</w:instrText>
            </w:r>
            <w:r w:rsidRPr="00C97E42">
              <w:rPr>
                <w:rFonts w:asciiTheme="minorHAnsi" w:hAnsiTheme="minorHAnsi" w:cstheme="minorHAnsi"/>
                <w:bCs/>
                <w:i/>
                <w:sz w:val="16"/>
                <w:szCs w:val="16"/>
              </w:rPr>
              <w:fldChar w:fldCharType="separate"/>
            </w:r>
            <w:r w:rsidRPr="00C97E42">
              <w:rPr>
                <w:rFonts w:asciiTheme="minorHAnsi" w:hAnsiTheme="minorHAnsi" w:cstheme="minorHAnsi"/>
                <w:bCs/>
                <w:i/>
                <w:sz w:val="16"/>
                <w:szCs w:val="16"/>
              </w:rPr>
              <w:t>2</w:t>
            </w:r>
            <w:r w:rsidRPr="00C97E42">
              <w:rPr>
                <w:rFonts w:asciiTheme="minorHAnsi" w:hAnsiTheme="minorHAnsi" w:cstheme="minorHAnsi"/>
                <w:bCs/>
                <w:i/>
                <w:sz w:val="16"/>
                <w:szCs w:val="16"/>
              </w:rPr>
              <w:fldChar w:fldCharType="end"/>
            </w:r>
          </w:sdtContent>
        </w:sdt>
      </w:p>
    </w:sdtContent>
  </w:sdt>
  <w:p w14:paraId="152A6470" w14:textId="312EA904" w:rsidR="00716D4E" w:rsidRPr="00585982" w:rsidRDefault="00716D4E" w:rsidP="0058598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A1B4D" w14:textId="77777777" w:rsidR="00AC658D" w:rsidRDefault="00AC658D">
      <w:r>
        <w:separator/>
      </w:r>
    </w:p>
  </w:footnote>
  <w:footnote w:type="continuationSeparator" w:id="0">
    <w:p w14:paraId="3FBAE1BF" w14:textId="77777777" w:rsidR="00AC658D" w:rsidRDefault="00AC658D">
      <w:r>
        <w:continuationSeparator/>
      </w:r>
    </w:p>
  </w:footnote>
  <w:footnote w:id="1">
    <w:p w14:paraId="30FBDD12" w14:textId="06B69F24" w:rsidR="00716D4E" w:rsidRDefault="00716D4E">
      <w:pPr>
        <w:pStyle w:val="Notedebasdepage"/>
      </w:pPr>
      <w:r>
        <w:rPr>
          <w:rStyle w:val="Appelnotedebasdep"/>
        </w:rPr>
        <w:footnoteRef/>
      </w:r>
      <w:r>
        <w:t xml:space="preserve"> </w:t>
      </w:r>
      <w:hyperlink r:id="rId1" w:history="1">
        <w:r w:rsidRPr="00DD6F20">
          <w:rPr>
            <w:rStyle w:val="Lienhypertexte"/>
            <w:sz w:val="18"/>
          </w:rPr>
          <w:t>https://doc.cerema.fr/doc/SYRACUSE/597667/fiche-n-2-dix-etapes-pour-ameliorer-la-resilience-de-vos-infrastructures-de-transport-methode-approc</w:t>
        </w:r>
      </w:hyperlink>
      <w:r>
        <w:t xml:space="preserve"> </w:t>
      </w:r>
    </w:p>
  </w:footnote>
  <w:footnote w:id="2">
    <w:p w14:paraId="11B21FCD" w14:textId="7D0E6C05" w:rsidR="00716D4E" w:rsidRDefault="00716D4E">
      <w:pPr>
        <w:pStyle w:val="Notedebasdepage"/>
      </w:pPr>
      <w:r>
        <w:rPr>
          <w:rStyle w:val="Appelnotedebasdep"/>
        </w:rPr>
        <w:footnoteRef/>
      </w:r>
      <w:r>
        <w:t xml:space="preserve"> En pièce jointe du présent CCTP</w:t>
      </w:r>
    </w:p>
  </w:footnote>
  <w:footnote w:id="3">
    <w:p w14:paraId="04A29152" w14:textId="08DD33D5" w:rsidR="00716D4E" w:rsidRDefault="00716D4E">
      <w:pPr>
        <w:pStyle w:val="Notedebasdepage"/>
      </w:pPr>
      <w:r>
        <w:rPr>
          <w:rStyle w:val="Appelnotedebasdep"/>
        </w:rPr>
        <w:footnoteRef/>
      </w:r>
      <w:r>
        <w:t xml:space="preserve"> </w:t>
      </w:r>
      <w:r w:rsidRPr="00457752">
        <w:rPr>
          <w:i/>
          <w:iCs/>
        </w:rPr>
        <w:t>Voir l’étude sur la phase 1 pour plus de précisions et compléments sur les objectifs</w:t>
      </w:r>
    </w:p>
  </w:footnote>
  <w:footnote w:id="4">
    <w:p w14:paraId="10804105" w14:textId="64DE62F8" w:rsidR="00716D4E" w:rsidRDefault="00716D4E">
      <w:pPr>
        <w:pStyle w:val="Notedebasdepage"/>
      </w:pPr>
      <w:r>
        <w:rPr>
          <w:rStyle w:val="Appelnotedebasdep"/>
        </w:rPr>
        <w:footnoteRef/>
      </w:r>
      <w:r>
        <w:t xml:space="preserve"> </w:t>
      </w:r>
      <w:hyperlink r:id="rId2" w:history="1">
        <w:r w:rsidRPr="00DD6F20">
          <w:rPr>
            <w:rStyle w:val="Lienhypertexte"/>
            <w:sz w:val="18"/>
          </w:rPr>
          <w:t>https://www.drias-climat.fr/accompagnement/sections/488</w:t>
        </w:r>
      </w:hyperlink>
      <w:r>
        <w:t xml:space="preserve"> </w:t>
      </w:r>
    </w:p>
  </w:footnote>
  <w:footnote w:id="5">
    <w:p w14:paraId="7148BE92" w14:textId="5A40717B" w:rsidR="00716D4E" w:rsidRDefault="00716D4E">
      <w:pPr>
        <w:pStyle w:val="Notedebasdepage"/>
      </w:pPr>
      <w:r>
        <w:rPr>
          <w:rStyle w:val="Appelnotedebasdep"/>
        </w:rPr>
        <w:footnoteRef/>
      </w:r>
      <w:r>
        <w:t xml:space="preserve"> </w:t>
      </w:r>
      <w:r>
        <w:rPr>
          <w:rFonts w:eastAsia="Calibri" w:cs="Times New Roman"/>
          <w:color w:val="292574"/>
        </w:rPr>
        <w:t xml:space="preserve">Estimée comme moyenne entre </w:t>
      </w:r>
      <w:r w:rsidRPr="00C15F4E">
        <w:rPr>
          <w:rFonts w:eastAsia="Calibri" w:cs="Times New Roman"/>
          <w:color w:val="292574"/>
        </w:rPr>
        <w:t>1850</w:t>
      </w:r>
      <w:r>
        <w:rPr>
          <w:rFonts w:eastAsia="Calibri" w:cs="Times New Roman"/>
          <w:color w:val="292574"/>
        </w:rPr>
        <w:t xml:space="preserve"> et 1</w:t>
      </w:r>
      <w:r w:rsidRPr="00C15F4E">
        <w:rPr>
          <w:rFonts w:eastAsia="Calibri" w:cs="Times New Roman"/>
          <w:color w:val="292574"/>
        </w:rPr>
        <w:t>900</w:t>
      </w:r>
    </w:p>
  </w:footnote>
  <w:footnote w:id="6">
    <w:p w14:paraId="6C532E39" w14:textId="7A55203E" w:rsidR="00716D4E" w:rsidRDefault="00716D4E">
      <w:pPr>
        <w:pStyle w:val="Notedebasdepage"/>
      </w:pPr>
      <w:r>
        <w:rPr>
          <w:rStyle w:val="Appelnotedebasdep"/>
        </w:rPr>
        <w:footnoteRef/>
      </w:r>
      <w:r>
        <w:t xml:space="preserve"> </w:t>
      </w:r>
      <w:hyperlink r:id="rId3" w:history="1">
        <w:r w:rsidRPr="00DD6F20">
          <w:rPr>
            <w:rStyle w:val="Lienhypertexte"/>
            <w:sz w:val="18"/>
          </w:rPr>
          <w:t>https://www.brgm.fr/fr/reference-projet-acheve/guyaclimat-impact-changement-climatique-differents-parametres-physiques</w:t>
        </w:r>
      </w:hyperlink>
      <w:r>
        <w:t xml:space="preserve"> </w:t>
      </w:r>
    </w:p>
  </w:footnote>
  <w:footnote w:id="7">
    <w:p w14:paraId="1C779090" w14:textId="423A24EF" w:rsidR="00716D4E" w:rsidRDefault="00716D4E">
      <w:pPr>
        <w:pStyle w:val="Notedebasdepage"/>
      </w:pPr>
      <w:r>
        <w:rPr>
          <w:rStyle w:val="Appelnotedebasdep"/>
        </w:rPr>
        <w:footnoteRef/>
      </w:r>
      <w:r>
        <w:t xml:space="preserve"> </w:t>
      </w:r>
      <w:r w:rsidRPr="000315E1">
        <w:t>Vulnérabilités et risques : les infrastructures de transport face au climat, Cerema, 2019</w:t>
      </w:r>
    </w:p>
  </w:footnote>
  <w:footnote w:id="8">
    <w:p w14:paraId="2A3D4026" w14:textId="5910AB25" w:rsidR="00716D4E" w:rsidRDefault="00716D4E">
      <w:pPr>
        <w:pStyle w:val="Notedebasdepage"/>
      </w:pPr>
      <w:r w:rsidRPr="00520F60">
        <w:rPr>
          <w:rStyle w:val="Appelnotedebasdep"/>
        </w:rPr>
        <w:footnoteRef/>
      </w:r>
      <w:r w:rsidRPr="00520F60">
        <w:t xml:space="preserve"> </w:t>
      </w:r>
      <w:r w:rsidRPr="00520F60">
        <w:rPr>
          <w:lang w:val="en-GB"/>
        </w:rPr>
        <w:t>Climate change Adaptation planning for the ports and inland Waterways – PIANC – 2020</w:t>
      </w:r>
    </w:p>
  </w:footnote>
  <w:footnote w:id="9">
    <w:p w14:paraId="1F3978C2" w14:textId="64704ACE" w:rsidR="00716D4E" w:rsidRDefault="00716D4E" w:rsidP="001E66DE">
      <w:pPr>
        <w:pStyle w:val="Notedebasdepage"/>
      </w:pPr>
      <w:r>
        <w:rPr>
          <w:rStyle w:val="Caractresdenotedebasdepage"/>
        </w:rPr>
        <w:footnoteRef/>
      </w:r>
      <w:r>
        <w:t xml:space="preserve"> Si le GPMG ne dispose pas de données SIG ni de MNT exhaustif, le groupement devra s’appuyer sur les données publiques disponibles pour réaliser sa base de données. Le GPMG possède principalement des plans de récolement sur les ouvrages ayant fait l’objet de travaux qui pourront être fournis au cas par cas.</w:t>
      </w:r>
    </w:p>
  </w:footnote>
  <w:footnote w:id="10">
    <w:p w14:paraId="20717E70" w14:textId="70047E66" w:rsidR="00716D4E" w:rsidRDefault="00716D4E">
      <w:pPr>
        <w:pStyle w:val="Notedebasdepage"/>
      </w:pPr>
      <w:r>
        <w:rPr>
          <w:rStyle w:val="Appelnotedebasdep"/>
        </w:rPr>
        <w:footnoteRef/>
      </w:r>
      <w:r>
        <w:t xml:space="preserve"> Le jeu de données Guyane SocleOM-Climat-2025 repose sur 10 simulations climatiques globales ou régionales, statistiquement désagrégées à une résolution de 3 km × 3 km</w:t>
      </w:r>
    </w:p>
  </w:footnote>
  <w:footnote w:id="11">
    <w:p w14:paraId="3DB1209C" w14:textId="77777777" w:rsidR="00716D4E" w:rsidRPr="00C97E42" w:rsidRDefault="00716D4E" w:rsidP="00CC395B">
      <w:pPr>
        <w:pStyle w:val="Notedebasdepage"/>
        <w:rPr>
          <w:sz w:val="16"/>
          <w:szCs w:val="16"/>
        </w:rPr>
      </w:pPr>
      <w:r w:rsidRPr="00C97E42">
        <w:rPr>
          <w:rStyle w:val="Appelnotedebasdep"/>
          <w:sz w:val="16"/>
          <w:szCs w:val="16"/>
        </w:rPr>
        <w:footnoteRef/>
      </w:r>
      <w:r w:rsidRPr="00C97E42">
        <w:rPr>
          <w:sz w:val="16"/>
          <w:szCs w:val="16"/>
        </w:rPr>
        <w:t xml:space="preserve"> </w:t>
      </w:r>
      <w:hyperlink r:id="rId4" w:history="1">
        <w:r w:rsidRPr="000B23D7">
          <w:rPr>
            <w:rStyle w:val="Lienhypertexte"/>
            <w:sz w:val="16"/>
            <w:szCs w:val="16"/>
          </w:rPr>
          <w:t>https://www.brgm.fr/fr/reference-projet-acheve/guyaclimat-impact-changement-climatique-differents-parametres-physiques</w:t>
        </w:r>
      </w:hyperlink>
      <w:r w:rsidRPr="00C97E42">
        <w:rPr>
          <w:sz w:val="16"/>
          <w:szCs w:val="16"/>
        </w:rPr>
        <w:t xml:space="preserve"> </w:t>
      </w:r>
    </w:p>
  </w:footnote>
  <w:footnote w:id="12">
    <w:p w14:paraId="4F3CDACF" w14:textId="5D7A8AE6" w:rsidR="00716D4E" w:rsidRPr="00C97E42" w:rsidRDefault="00716D4E" w:rsidP="00CC395B">
      <w:pPr>
        <w:pStyle w:val="Notedebasdepage"/>
        <w:rPr>
          <w:sz w:val="16"/>
          <w:szCs w:val="16"/>
        </w:rPr>
      </w:pPr>
      <w:r w:rsidRPr="00C97E42">
        <w:rPr>
          <w:rStyle w:val="Appelnotedebasdep"/>
          <w:sz w:val="16"/>
          <w:szCs w:val="16"/>
        </w:rPr>
        <w:footnoteRef/>
      </w:r>
      <w:r w:rsidRPr="00C97E42">
        <w:rPr>
          <w:sz w:val="16"/>
          <w:szCs w:val="16"/>
        </w:rPr>
        <w:t xml:space="preserve">  </w:t>
      </w:r>
      <w:hyperlink r:id="rId5" w:history="1">
        <w:r w:rsidRPr="000B23D7">
          <w:rPr>
            <w:rStyle w:val="Lienhypertexte"/>
            <w:sz w:val="16"/>
            <w:szCs w:val="16"/>
          </w:rPr>
          <w:t>https://www.audeg.fr/default/jacc.aspx?_lg=fr-FR</w:t>
        </w:r>
      </w:hyperlink>
      <w:r w:rsidRPr="000B23D7">
        <w:rPr>
          <w:sz w:val="16"/>
          <w:szCs w:val="16"/>
        </w:rPr>
        <w:t xml:space="preserve"> </w:t>
      </w:r>
    </w:p>
  </w:footnote>
  <w:footnote w:id="13">
    <w:p w14:paraId="6CA324BE" w14:textId="77777777" w:rsidR="00716D4E" w:rsidRPr="00C97E42" w:rsidRDefault="00716D4E" w:rsidP="00CC395B">
      <w:pPr>
        <w:pStyle w:val="Notedebasdepage"/>
        <w:rPr>
          <w:sz w:val="16"/>
          <w:szCs w:val="16"/>
        </w:rPr>
      </w:pPr>
      <w:r w:rsidRPr="00C97E42">
        <w:rPr>
          <w:rStyle w:val="Appelnotedebasdep"/>
          <w:sz w:val="16"/>
          <w:szCs w:val="16"/>
        </w:rPr>
        <w:footnoteRef/>
      </w:r>
      <w:r w:rsidRPr="00C97E42">
        <w:rPr>
          <w:sz w:val="16"/>
          <w:szCs w:val="16"/>
        </w:rPr>
        <w:t xml:space="preserve"> </w:t>
      </w:r>
      <w:hyperlink r:id="rId6" w:history="1">
        <w:r w:rsidRPr="000B23D7">
          <w:rPr>
            <w:rStyle w:val="Lienhypertexte"/>
            <w:sz w:val="16"/>
            <w:szCs w:val="16"/>
          </w:rPr>
          <w:t>https://observatoire-littoral-guyane.fr/changements-climatiques/</w:t>
        </w:r>
      </w:hyperlink>
    </w:p>
  </w:footnote>
  <w:footnote w:id="14">
    <w:p w14:paraId="49C57C4B" w14:textId="77777777" w:rsidR="00716D4E" w:rsidRPr="00C97E42" w:rsidRDefault="00716D4E" w:rsidP="00CC395B">
      <w:pPr>
        <w:pStyle w:val="Notedebasdepage"/>
        <w:rPr>
          <w:sz w:val="16"/>
          <w:szCs w:val="16"/>
        </w:rPr>
      </w:pPr>
      <w:r w:rsidRPr="00C97E42">
        <w:rPr>
          <w:rStyle w:val="Appelnotedebasdep"/>
          <w:sz w:val="16"/>
          <w:szCs w:val="16"/>
        </w:rPr>
        <w:footnoteRef/>
      </w:r>
      <w:hyperlink r:id="rId7" w:history="1">
        <w:r w:rsidRPr="000B23D7">
          <w:rPr>
            <w:rStyle w:val="Lienhypertexte"/>
            <w:sz w:val="16"/>
            <w:szCs w:val="16"/>
          </w:rPr>
          <w:t>https://www.adaptation-changement-climatique.gouv.fr/agir/espace-documentaire/changement-climatique-en-guyane</w:t>
        </w:r>
      </w:hyperlink>
    </w:p>
  </w:footnote>
  <w:footnote w:id="15">
    <w:p w14:paraId="383E190C" w14:textId="1457823D" w:rsidR="00716D4E" w:rsidRPr="00C97E42" w:rsidRDefault="00716D4E" w:rsidP="00CC395B">
      <w:pPr>
        <w:pStyle w:val="Notedebasdepage"/>
        <w:rPr>
          <w:rStyle w:val="Lienhypertexte"/>
          <w:sz w:val="16"/>
        </w:rPr>
      </w:pPr>
      <w:r w:rsidRPr="00C97E42">
        <w:rPr>
          <w:rStyle w:val="Appelnotedebasdep"/>
          <w:sz w:val="16"/>
          <w:szCs w:val="16"/>
        </w:rPr>
        <w:footnoteRef/>
      </w:r>
      <w:r w:rsidRPr="00C97E42">
        <w:rPr>
          <w:sz w:val="16"/>
          <w:szCs w:val="16"/>
        </w:rPr>
        <w:t xml:space="preserve">  </w:t>
      </w:r>
      <w:r w:rsidRPr="000B23D7">
        <w:rPr>
          <w:rStyle w:val="Lienhypertexte"/>
          <w:sz w:val="16"/>
          <w:szCs w:val="16"/>
        </w:rPr>
        <w:t>https://lifeadaptoplus.eu/fr/</w:t>
      </w:r>
    </w:p>
  </w:footnote>
  <w:footnote w:id="16">
    <w:p w14:paraId="4153A5FE" w14:textId="77777777" w:rsidR="00716D4E" w:rsidRPr="00C97E42" w:rsidRDefault="00716D4E" w:rsidP="00CC395B">
      <w:pPr>
        <w:pStyle w:val="Notedebasdepage"/>
        <w:rPr>
          <w:sz w:val="16"/>
          <w:szCs w:val="16"/>
        </w:rPr>
      </w:pPr>
      <w:r w:rsidRPr="00C97E42">
        <w:rPr>
          <w:rStyle w:val="Appelnotedebasdep"/>
          <w:sz w:val="16"/>
          <w:szCs w:val="16"/>
        </w:rPr>
        <w:footnoteRef/>
      </w:r>
      <w:r w:rsidRPr="00C97E42">
        <w:rPr>
          <w:sz w:val="16"/>
          <w:szCs w:val="16"/>
        </w:rPr>
        <w:t xml:space="preserve"> </w:t>
      </w:r>
      <w:hyperlink r:id="rId8" w:history="1">
        <w:r w:rsidRPr="000B23D7">
          <w:rPr>
            <w:rStyle w:val="Lienhypertexte"/>
            <w:sz w:val="16"/>
            <w:szCs w:val="16"/>
          </w:rPr>
          <w:t>https://www.adaptation-changement-climatique.gouv.fr/dossiers-thematiques/milieux/mer-et-littoral</w:t>
        </w:r>
      </w:hyperlink>
    </w:p>
  </w:footnote>
  <w:footnote w:id="17">
    <w:p w14:paraId="4113E9CC" w14:textId="77777777" w:rsidR="00716D4E" w:rsidRPr="00004544" w:rsidRDefault="00716D4E" w:rsidP="00CC395B">
      <w:pPr>
        <w:pStyle w:val="Notedebasdepage"/>
        <w:rPr>
          <w:sz w:val="12"/>
          <w:szCs w:val="16"/>
        </w:rPr>
      </w:pPr>
      <w:r w:rsidRPr="00C97E42">
        <w:rPr>
          <w:rStyle w:val="Appelnotedebasdep"/>
          <w:sz w:val="16"/>
          <w:szCs w:val="16"/>
        </w:rPr>
        <w:footnoteRef/>
      </w:r>
      <w:r w:rsidRPr="00C97E42">
        <w:rPr>
          <w:sz w:val="16"/>
          <w:szCs w:val="16"/>
        </w:rPr>
        <w:t xml:space="preserve"> </w:t>
      </w:r>
      <w:hyperlink r:id="rId9" w:history="1">
        <w:r w:rsidRPr="000B23D7">
          <w:rPr>
            <w:rStyle w:val="Lienhypertexte"/>
            <w:sz w:val="16"/>
            <w:szCs w:val="16"/>
          </w:rPr>
          <w:t>https://climate-adapt.eea.europa.eu/fr/metadata/case-studies/marine-and-coastal-ecosystem-restoration-for-climate-change-adaptation-in-the-caribbean-guadalupe-french-oversea-region</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B338F" w14:textId="2AE34C30" w:rsidR="00716D4E" w:rsidRDefault="00716D4E">
    <w:pPr>
      <w:pStyle w:val="En-tte"/>
    </w:pPr>
    <w:r>
      <w:rPr>
        <w:noProof/>
      </w:rPr>
      <w:drawing>
        <wp:anchor distT="0" distB="0" distL="114300" distR="114300" simplePos="0" relativeHeight="251687936" behindDoc="0" locked="0" layoutInCell="1" allowOverlap="1" wp14:anchorId="461FF6DD" wp14:editId="01D1E56D">
          <wp:simplePos x="0" y="0"/>
          <wp:positionH relativeFrom="column">
            <wp:posOffset>4085590</wp:posOffset>
          </wp:positionH>
          <wp:positionV relativeFrom="paragraph">
            <wp:posOffset>-975360</wp:posOffset>
          </wp:positionV>
          <wp:extent cx="2866390" cy="832485"/>
          <wp:effectExtent l="0" t="0" r="3810" b="5715"/>
          <wp:wrapNone/>
          <wp:docPr id="1" name="Image 26" descr="Une image contenant texte,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clipart&#10;&#10;Description générée automatiquement"/>
                  <pic:cNvPicPr>
                    <a:picLocks noChangeAspect="1"/>
                  </pic:cNvPicPr>
                </pic:nvPicPr>
                <pic:blipFill>
                  <a:blip r:embed="rId1"/>
                  <a:stretch/>
                </pic:blipFill>
                <pic:spPr bwMode="auto">
                  <a:xfrm>
                    <a:off x="0" y="0"/>
                    <a:ext cx="2866390" cy="83248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6912" behindDoc="0" locked="0" layoutInCell="1" allowOverlap="1" wp14:anchorId="27288988" wp14:editId="4DC21E66">
          <wp:simplePos x="0" y="0"/>
          <wp:positionH relativeFrom="margin">
            <wp:posOffset>-171450</wp:posOffset>
          </wp:positionH>
          <wp:positionV relativeFrom="margin">
            <wp:posOffset>-1199515</wp:posOffset>
          </wp:positionV>
          <wp:extent cx="1063924" cy="965835"/>
          <wp:effectExtent l="0" t="0" r="3175" b="0"/>
          <wp:wrapNone/>
          <wp:docPr id="2"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pic:cNvPicPr>
                </pic:nvPicPr>
                <pic:blipFill>
                  <a:blip r:embed="rId2"/>
                  <a:stretch/>
                </pic:blipFill>
                <pic:spPr bwMode="auto">
                  <a:xfrm>
                    <a:off x="0" y="0"/>
                    <a:ext cx="1063924" cy="96583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FFC2B" w14:textId="77777777" w:rsidR="00716D4E" w:rsidRDefault="00716D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97FE0"/>
    <w:multiLevelType w:val="hybridMultilevel"/>
    <w:tmpl w:val="36744EA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D4A1A"/>
    <w:multiLevelType w:val="multilevel"/>
    <w:tmpl w:val="FAD695A4"/>
    <w:lvl w:ilvl="0">
      <w:start w:val="1"/>
      <w:numFmt w:val="bullet"/>
      <w:isLgl/>
      <w:lvlText w:val="Ø"/>
      <w:lvlJc w:val="left"/>
      <w:pPr>
        <w:tabs>
          <w:tab w:val="num" w:pos="-76"/>
        </w:tabs>
        <w:ind w:left="644" w:hanging="360"/>
      </w:pPr>
      <w:rPr>
        <w:rFonts w:ascii="Wingdings" w:hAnsi="Wingdings" w:cs="Wingdings" w:hint="default"/>
      </w:rPr>
    </w:lvl>
    <w:lvl w:ilvl="1">
      <w:start w:val="1"/>
      <w:numFmt w:val="bullet"/>
      <w:isLgl/>
      <w:lvlText w:val="o"/>
      <w:lvlJc w:val="left"/>
      <w:pPr>
        <w:tabs>
          <w:tab w:val="num" w:pos="-76"/>
        </w:tabs>
        <w:ind w:left="1364" w:hanging="360"/>
      </w:pPr>
      <w:rPr>
        <w:rFonts w:ascii="Courier New" w:hAnsi="Courier New" w:cs="Courier New" w:hint="default"/>
      </w:rPr>
    </w:lvl>
    <w:lvl w:ilvl="2">
      <w:start w:val="1"/>
      <w:numFmt w:val="bullet"/>
      <w:isLgl/>
      <w:lvlText w:val="§"/>
      <w:lvlJc w:val="left"/>
      <w:pPr>
        <w:tabs>
          <w:tab w:val="num" w:pos="-76"/>
        </w:tabs>
        <w:ind w:left="2084" w:hanging="360"/>
      </w:pPr>
      <w:rPr>
        <w:rFonts w:ascii="Wingdings" w:hAnsi="Wingdings" w:cs="Wingdings" w:hint="default"/>
      </w:rPr>
    </w:lvl>
    <w:lvl w:ilvl="3">
      <w:start w:val="1"/>
      <w:numFmt w:val="bullet"/>
      <w:isLgl/>
      <w:lvlText w:val="·"/>
      <w:lvlJc w:val="left"/>
      <w:pPr>
        <w:tabs>
          <w:tab w:val="num" w:pos="-76"/>
        </w:tabs>
        <w:ind w:left="2804" w:hanging="360"/>
      </w:pPr>
      <w:rPr>
        <w:rFonts w:ascii="Symbol" w:hAnsi="Symbol" w:cs="Symbol" w:hint="default"/>
      </w:rPr>
    </w:lvl>
    <w:lvl w:ilvl="4">
      <w:start w:val="1"/>
      <w:numFmt w:val="bullet"/>
      <w:isLgl/>
      <w:lvlText w:val="o"/>
      <w:lvlJc w:val="left"/>
      <w:pPr>
        <w:tabs>
          <w:tab w:val="num" w:pos="-76"/>
        </w:tabs>
        <w:ind w:left="3524" w:hanging="360"/>
      </w:pPr>
      <w:rPr>
        <w:rFonts w:ascii="Courier New" w:hAnsi="Courier New" w:cs="Courier New" w:hint="default"/>
      </w:rPr>
    </w:lvl>
    <w:lvl w:ilvl="5">
      <w:start w:val="1"/>
      <w:numFmt w:val="bullet"/>
      <w:isLgl/>
      <w:lvlText w:val="§"/>
      <w:lvlJc w:val="left"/>
      <w:pPr>
        <w:tabs>
          <w:tab w:val="num" w:pos="-76"/>
        </w:tabs>
        <w:ind w:left="4244" w:hanging="360"/>
      </w:pPr>
      <w:rPr>
        <w:rFonts w:ascii="Wingdings" w:hAnsi="Wingdings" w:cs="Wingdings" w:hint="default"/>
      </w:rPr>
    </w:lvl>
    <w:lvl w:ilvl="6">
      <w:start w:val="1"/>
      <w:numFmt w:val="bullet"/>
      <w:isLgl/>
      <w:lvlText w:val="·"/>
      <w:lvlJc w:val="left"/>
      <w:pPr>
        <w:tabs>
          <w:tab w:val="num" w:pos="-76"/>
        </w:tabs>
        <w:ind w:left="4964" w:hanging="360"/>
      </w:pPr>
      <w:rPr>
        <w:rFonts w:ascii="Symbol" w:hAnsi="Symbol" w:cs="Symbol" w:hint="default"/>
      </w:rPr>
    </w:lvl>
    <w:lvl w:ilvl="7">
      <w:start w:val="1"/>
      <w:numFmt w:val="bullet"/>
      <w:isLgl/>
      <w:lvlText w:val="o"/>
      <w:lvlJc w:val="left"/>
      <w:pPr>
        <w:tabs>
          <w:tab w:val="num" w:pos="-76"/>
        </w:tabs>
        <w:ind w:left="5684" w:hanging="360"/>
      </w:pPr>
      <w:rPr>
        <w:rFonts w:ascii="Courier New" w:hAnsi="Courier New" w:cs="Courier New" w:hint="default"/>
      </w:rPr>
    </w:lvl>
    <w:lvl w:ilvl="8">
      <w:start w:val="1"/>
      <w:numFmt w:val="bullet"/>
      <w:isLgl/>
      <w:lvlText w:val="§"/>
      <w:lvlJc w:val="left"/>
      <w:pPr>
        <w:tabs>
          <w:tab w:val="num" w:pos="-76"/>
        </w:tabs>
        <w:ind w:left="6404" w:hanging="360"/>
      </w:pPr>
      <w:rPr>
        <w:rFonts w:ascii="Wingdings" w:hAnsi="Wingdings" w:cs="Wingdings" w:hint="default"/>
      </w:rPr>
    </w:lvl>
  </w:abstractNum>
  <w:abstractNum w:abstractNumId="2" w15:restartNumberingAfterBreak="0">
    <w:nsid w:val="05ED0DD9"/>
    <w:multiLevelType w:val="multilevel"/>
    <w:tmpl w:val="BBE49DFE"/>
    <w:lvl w:ilvl="0">
      <w:start w:val="1"/>
      <w:numFmt w:val="bullet"/>
      <w:pStyle w:val="Puce2"/>
      <w:lvlText w:val=""/>
      <w:lvlJc w:val="left"/>
      <w:pPr>
        <w:ind w:left="720" w:hanging="360"/>
      </w:pPr>
      <w:rPr>
        <w:rFonts w:ascii="Wingdings 3" w:hAnsi="Wingdings 3" w:hint="default"/>
        <w:color w:val="292574" w:themeColor="accent2"/>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684406"/>
    <w:multiLevelType w:val="hybridMultilevel"/>
    <w:tmpl w:val="BDB2D4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934D99"/>
    <w:multiLevelType w:val="multilevel"/>
    <w:tmpl w:val="5C104CF2"/>
    <w:lvl w:ilvl="0">
      <w:start w:val="1"/>
      <w:numFmt w:val="bullet"/>
      <w:pStyle w:val="Puce2noir"/>
      <w:lvlText w:val=""/>
      <w:lvlJc w:val="left"/>
      <w:pPr>
        <w:ind w:left="1400" w:hanging="360"/>
      </w:pPr>
      <w:rPr>
        <w:rFonts w:ascii="Webdings" w:hAnsi="Webdings" w:hint="default"/>
        <w:color w:val="auto"/>
        <w:sz w:val="22"/>
        <w:szCs w:val="16"/>
      </w:rPr>
    </w:lvl>
    <w:lvl w:ilvl="1">
      <w:start w:val="1"/>
      <w:numFmt w:val="bullet"/>
      <w:lvlText w:val="o"/>
      <w:lvlJc w:val="left"/>
      <w:pPr>
        <w:ind w:left="2120" w:hanging="360"/>
      </w:pPr>
      <w:rPr>
        <w:rFonts w:ascii="Courier New" w:hAnsi="Courier New" w:cs="Courier New" w:hint="default"/>
      </w:rPr>
    </w:lvl>
    <w:lvl w:ilvl="2">
      <w:start w:val="1"/>
      <w:numFmt w:val="bullet"/>
      <w:lvlText w:val=""/>
      <w:lvlJc w:val="left"/>
      <w:pPr>
        <w:ind w:left="2840" w:hanging="360"/>
      </w:pPr>
      <w:rPr>
        <w:rFonts w:ascii="Wingdings" w:hAnsi="Wingdings" w:hint="default"/>
      </w:rPr>
    </w:lvl>
    <w:lvl w:ilvl="3">
      <w:start w:val="1"/>
      <w:numFmt w:val="bullet"/>
      <w:lvlText w:val=""/>
      <w:lvlJc w:val="left"/>
      <w:pPr>
        <w:ind w:left="3560" w:hanging="360"/>
      </w:pPr>
      <w:rPr>
        <w:rFonts w:ascii="Symbol" w:hAnsi="Symbol" w:hint="default"/>
      </w:rPr>
    </w:lvl>
    <w:lvl w:ilvl="4">
      <w:start w:val="1"/>
      <w:numFmt w:val="bullet"/>
      <w:lvlText w:val="o"/>
      <w:lvlJc w:val="left"/>
      <w:pPr>
        <w:ind w:left="4280" w:hanging="360"/>
      </w:pPr>
      <w:rPr>
        <w:rFonts w:ascii="Courier New" w:hAnsi="Courier New" w:cs="Courier New" w:hint="default"/>
      </w:rPr>
    </w:lvl>
    <w:lvl w:ilvl="5">
      <w:start w:val="1"/>
      <w:numFmt w:val="bullet"/>
      <w:lvlText w:val=""/>
      <w:lvlJc w:val="left"/>
      <w:pPr>
        <w:ind w:left="5000" w:hanging="360"/>
      </w:pPr>
      <w:rPr>
        <w:rFonts w:ascii="Wingdings" w:hAnsi="Wingdings" w:hint="default"/>
      </w:rPr>
    </w:lvl>
    <w:lvl w:ilvl="6">
      <w:start w:val="1"/>
      <w:numFmt w:val="bullet"/>
      <w:lvlText w:val=""/>
      <w:lvlJc w:val="left"/>
      <w:pPr>
        <w:ind w:left="5720" w:hanging="360"/>
      </w:pPr>
      <w:rPr>
        <w:rFonts w:ascii="Symbol" w:hAnsi="Symbol" w:hint="default"/>
      </w:rPr>
    </w:lvl>
    <w:lvl w:ilvl="7">
      <w:start w:val="1"/>
      <w:numFmt w:val="bullet"/>
      <w:lvlText w:val="o"/>
      <w:lvlJc w:val="left"/>
      <w:pPr>
        <w:ind w:left="6440" w:hanging="360"/>
      </w:pPr>
      <w:rPr>
        <w:rFonts w:ascii="Courier New" w:hAnsi="Courier New" w:cs="Courier New" w:hint="default"/>
      </w:rPr>
    </w:lvl>
    <w:lvl w:ilvl="8">
      <w:start w:val="1"/>
      <w:numFmt w:val="bullet"/>
      <w:lvlText w:val=""/>
      <w:lvlJc w:val="left"/>
      <w:pPr>
        <w:ind w:left="7160" w:hanging="360"/>
      </w:pPr>
      <w:rPr>
        <w:rFonts w:ascii="Wingdings" w:hAnsi="Wingdings" w:hint="default"/>
      </w:rPr>
    </w:lvl>
  </w:abstractNum>
  <w:abstractNum w:abstractNumId="5" w15:restartNumberingAfterBreak="0">
    <w:nsid w:val="09EC5B27"/>
    <w:multiLevelType w:val="hybridMultilevel"/>
    <w:tmpl w:val="4DBCAC6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C2E7FA5"/>
    <w:multiLevelType w:val="hybridMultilevel"/>
    <w:tmpl w:val="692677D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DE671E1"/>
    <w:multiLevelType w:val="multilevel"/>
    <w:tmpl w:val="38384696"/>
    <w:lvl w:ilvl="0">
      <w:start w:val="1"/>
      <w:numFmt w:val="decimal"/>
      <w:isLgl/>
      <w:lvlText w:val="%1)"/>
      <w:lvlJc w:val="left"/>
      <w:pPr>
        <w:tabs>
          <w:tab w:val="num" w:pos="0"/>
        </w:tabs>
        <w:ind w:left="709" w:hanging="360"/>
      </w:pPr>
    </w:lvl>
    <w:lvl w:ilvl="1">
      <w:start w:val="1"/>
      <w:numFmt w:val="lowerLetter"/>
      <w:isLgl/>
      <w:lvlText w:val="%2."/>
      <w:lvlJc w:val="left"/>
      <w:pPr>
        <w:tabs>
          <w:tab w:val="num" w:pos="0"/>
        </w:tabs>
        <w:ind w:left="1429" w:hanging="360"/>
      </w:pPr>
    </w:lvl>
    <w:lvl w:ilvl="2">
      <w:start w:val="1"/>
      <w:numFmt w:val="lowerRoman"/>
      <w:isLgl/>
      <w:lvlText w:val="%3."/>
      <w:lvlJc w:val="right"/>
      <w:pPr>
        <w:tabs>
          <w:tab w:val="num" w:pos="0"/>
        </w:tabs>
        <w:ind w:left="2149" w:hanging="180"/>
      </w:pPr>
    </w:lvl>
    <w:lvl w:ilvl="3">
      <w:start w:val="1"/>
      <w:numFmt w:val="decimal"/>
      <w:isLgl/>
      <w:lvlText w:val="%4."/>
      <w:lvlJc w:val="left"/>
      <w:pPr>
        <w:tabs>
          <w:tab w:val="num" w:pos="0"/>
        </w:tabs>
        <w:ind w:left="2869" w:hanging="360"/>
      </w:pPr>
    </w:lvl>
    <w:lvl w:ilvl="4">
      <w:start w:val="1"/>
      <w:numFmt w:val="lowerLetter"/>
      <w:isLgl/>
      <w:lvlText w:val="%5."/>
      <w:lvlJc w:val="left"/>
      <w:pPr>
        <w:tabs>
          <w:tab w:val="num" w:pos="0"/>
        </w:tabs>
        <w:ind w:left="3589" w:hanging="360"/>
      </w:pPr>
    </w:lvl>
    <w:lvl w:ilvl="5">
      <w:start w:val="1"/>
      <w:numFmt w:val="lowerRoman"/>
      <w:isLgl/>
      <w:lvlText w:val="%6."/>
      <w:lvlJc w:val="right"/>
      <w:pPr>
        <w:tabs>
          <w:tab w:val="num" w:pos="0"/>
        </w:tabs>
        <w:ind w:left="4309" w:hanging="180"/>
      </w:pPr>
    </w:lvl>
    <w:lvl w:ilvl="6">
      <w:start w:val="1"/>
      <w:numFmt w:val="decimal"/>
      <w:isLgl/>
      <w:lvlText w:val="%7."/>
      <w:lvlJc w:val="left"/>
      <w:pPr>
        <w:tabs>
          <w:tab w:val="num" w:pos="0"/>
        </w:tabs>
        <w:ind w:left="5029" w:hanging="360"/>
      </w:pPr>
    </w:lvl>
    <w:lvl w:ilvl="7">
      <w:start w:val="1"/>
      <w:numFmt w:val="lowerLetter"/>
      <w:isLgl/>
      <w:lvlText w:val="%8."/>
      <w:lvlJc w:val="left"/>
      <w:pPr>
        <w:tabs>
          <w:tab w:val="num" w:pos="0"/>
        </w:tabs>
        <w:ind w:left="5749" w:hanging="360"/>
      </w:pPr>
    </w:lvl>
    <w:lvl w:ilvl="8">
      <w:start w:val="1"/>
      <w:numFmt w:val="lowerRoman"/>
      <w:isLgl/>
      <w:lvlText w:val="%9."/>
      <w:lvlJc w:val="right"/>
      <w:pPr>
        <w:tabs>
          <w:tab w:val="num" w:pos="0"/>
        </w:tabs>
        <w:ind w:left="6469" w:hanging="180"/>
      </w:pPr>
    </w:lvl>
  </w:abstractNum>
  <w:abstractNum w:abstractNumId="8" w15:restartNumberingAfterBreak="0">
    <w:nsid w:val="0E516A51"/>
    <w:multiLevelType w:val="hybridMultilevel"/>
    <w:tmpl w:val="7D7ED5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FBF33DF"/>
    <w:multiLevelType w:val="hybridMultilevel"/>
    <w:tmpl w:val="3AE82B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02B648B"/>
    <w:multiLevelType w:val="multilevel"/>
    <w:tmpl w:val="0B68E818"/>
    <w:lvl w:ilvl="0">
      <w:start w:val="1"/>
      <w:numFmt w:val="bullet"/>
      <w:isLgl/>
      <w:lvlText w:val=""/>
      <w:lvlJc w:val="left"/>
      <w:pPr>
        <w:tabs>
          <w:tab w:val="num" w:pos="0"/>
        </w:tabs>
        <w:ind w:left="709" w:hanging="360"/>
      </w:pPr>
      <w:rPr>
        <w:rFonts w:ascii="Wingdings 3" w:hAnsi="Wingdings 3" w:cs="Wingdings 3" w:hint="default"/>
        <w:color w:val="292574" w:themeColor="accent2"/>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11" w15:restartNumberingAfterBreak="0">
    <w:nsid w:val="10815250"/>
    <w:multiLevelType w:val="multilevel"/>
    <w:tmpl w:val="069CC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2642BE7"/>
    <w:multiLevelType w:val="multilevel"/>
    <w:tmpl w:val="EBD4B4F4"/>
    <w:lvl w:ilvl="0">
      <w:start w:val="1"/>
      <w:numFmt w:val="bullet"/>
      <w:pStyle w:val="Puce1"/>
      <w:lvlText w:val=""/>
      <w:lvlJc w:val="left"/>
      <w:pPr>
        <w:ind w:left="720" w:hanging="360"/>
      </w:pPr>
      <w:rPr>
        <w:rFonts w:ascii="Wingdings 3" w:hAnsi="Wingdings 3" w:hint="default"/>
        <w:color w:val="292574" w:themeColor="accent2"/>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62027"/>
    <w:multiLevelType w:val="multilevel"/>
    <w:tmpl w:val="5F20D06E"/>
    <w:lvl w:ilvl="0">
      <w:start w:val="1"/>
      <w:numFmt w:val="bullet"/>
      <w:lvlText w:val=""/>
      <w:lvlJc w:val="left"/>
      <w:pPr>
        <w:tabs>
          <w:tab w:val="num" w:pos="0"/>
        </w:tabs>
        <w:ind w:left="720" w:hanging="360"/>
      </w:pPr>
      <w:rPr>
        <w:rFonts w:ascii="Wingdings" w:hAnsi="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3E72DD7"/>
    <w:multiLevelType w:val="multilevel"/>
    <w:tmpl w:val="A2DC4582"/>
    <w:lvl w:ilvl="0">
      <w:start w:val="1"/>
      <w:numFmt w:val="bullet"/>
      <w:isLgl/>
      <w:lvlText w:val="Ø"/>
      <w:lvlJc w:val="left"/>
      <w:pPr>
        <w:tabs>
          <w:tab w:val="num" w:pos="0"/>
        </w:tabs>
        <w:ind w:left="720"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15" w15:restartNumberingAfterBreak="0">
    <w:nsid w:val="155926CD"/>
    <w:multiLevelType w:val="multilevel"/>
    <w:tmpl w:val="7B26FC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56735CE"/>
    <w:multiLevelType w:val="multilevel"/>
    <w:tmpl w:val="C6A8B59A"/>
    <w:lvl w:ilvl="0">
      <w:start w:val="1"/>
      <w:numFmt w:val="bullet"/>
      <w:isLgl/>
      <w:lvlText w:val="Ø"/>
      <w:lvlJc w:val="left"/>
      <w:pPr>
        <w:tabs>
          <w:tab w:val="num" w:pos="0"/>
        </w:tabs>
        <w:ind w:left="709"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17" w15:restartNumberingAfterBreak="0">
    <w:nsid w:val="1AB42D71"/>
    <w:multiLevelType w:val="hybridMultilevel"/>
    <w:tmpl w:val="F056D5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B647925"/>
    <w:multiLevelType w:val="multilevel"/>
    <w:tmpl w:val="B69069C8"/>
    <w:lvl w:ilvl="0">
      <w:start w:val="1"/>
      <w:numFmt w:val="bullet"/>
      <w:pStyle w:val="Puce1noir"/>
      <w:lvlText w:val=""/>
      <w:lvlJc w:val="left"/>
      <w:pPr>
        <w:ind w:left="1080" w:hanging="360"/>
      </w:pPr>
      <w:rPr>
        <w:rFonts w:ascii="Webdings" w:hAnsi="Webdings" w:hint="default"/>
        <w:color w:val="auto"/>
        <w:sz w:val="22"/>
        <w:szCs w:val="16"/>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CA35D8C"/>
    <w:multiLevelType w:val="multilevel"/>
    <w:tmpl w:val="3B9AE6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DC719C7"/>
    <w:multiLevelType w:val="hybridMultilevel"/>
    <w:tmpl w:val="11006A4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1" w15:restartNumberingAfterBreak="0">
    <w:nsid w:val="1FC50500"/>
    <w:multiLevelType w:val="multilevel"/>
    <w:tmpl w:val="039490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0244558"/>
    <w:multiLevelType w:val="multilevel"/>
    <w:tmpl w:val="EC785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1EB6D29"/>
    <w:multiLevelType w:val="multilevel"/>
    <w:tmpl w:val="1E7E31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23455584"/>
    <w:multiLevelType w:val="multilevel"/>
    <w:tmpl w:val="C63093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23F23F06"/>
    <w:multiLevelType w:val="multilevel"/>
    <w:tmpl w:val="0526BD92"/>
    <w:lvl w:ilvl="0">
      <w:start w:val="1"/>
      <w:numFmt w:val="bullet"/>
      <w:isLgl/>
      <w:lvlText w:val="Ø"/>
      <w:lvlJc w:val="left"/>
      <w:pPr>
        <w:tabs>
          <w:tab w:val="num" w:pos="0"/>
        </w:tabs>
        <w:ind w:left="709"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26" w15:restartNumberingAfterBreak="0">
    <w:nsid w:val="262C2DFD"/>
    <w:multiLevelType w:val="multilevel"/>
    <w:tmpl w:val="15909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6D50531"/>
    <w:multiLevelType w:val="hybridMultilevel"/>
    <w:tmpl w:val="D1FE9A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CB7211B"/>
    <w:multiLevelType w:val="hybridMultilevel"/>
    <w:tmpl w:val="68FADC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D914835"/>
    <w:multiLevelType w:val="hybridMultilevel"/>
    <w:tmpl w:val="B678C80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FF8689F"/>
    <w:multiLevelType w:val="multilevel"/>
    <w:tmpl w:val="ECE260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18912E4"/>
    <w:multiLevelType w:val="multilevel"/>
    <w:tmpl w:val="E9C843E4"/>
    <w:lvl w:ilvl="0">
      <w:start w:val="1"/>
      <w:numFmt w:val="bullet"/>
      <w:isLgl/>
      <w:lvlText w:val="Ø"/>
      <w:lvlJc w:val="left"/>
      <w:pPr>
        <w:tabs>
          <w:tab w:val="num" w:pos="0"/>
        </w:tabs>
        <w:ind w:left="709"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32" w15:restartNumberingAfterBreak="0">
    <w:nsid w:val="32AB7FEB"/>
    <w:multiLevelType w:val="hybridMultilevel"/>
    <w:tmpl w:val="4774944E"/>
    <w:lvl w:ilvl="0" w:tplc="040C000D">
      <w:start w:val="1"/>
      <w:numFmt w:val="bullet"/>
      <w:lvlText w:val=""/>
      <w:lvlJc w:val="left"/>
      <w:pPr>
        <w:ind w:left="1069" w:hanging="360"/>
      </w:pPr>
      <w:rPr>
        <w:rFonts w:ascii="Wingdings" w:hAnsi="Wingdings"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3" w15:restartNumberingAfterBreak="0">
    <w:nsid w:val="337246F0"/>
    <w:multiLevelType w:val="hybridMultilevel"/>
    <w:tmpl w:val="489291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5345633"/>
    <w:multiLevelType w:val="hybridMultilevel"/>
    <w:tmpl w:val="70806B6C"/>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5" w15:restartNumberingAfterBreak="0">
    <w:nsid w:val="363966EA"/>
    <w:multiLevelType w:val="multilevel"/>
    <w:tmpl w:val="EE26D3A4"/>
    <w:lvl w:ilvl="0">
      <w:start w:val="1"/>
      <w:numFmt w:val="bullet"/>
      <w:isLgl/>
      <w:lvlText w:val=""/>
      <w:lvlJc w:val="left"/>
      <w:pPr>
        <w:tabs>
          <w:tab w:val="num" w:pos="0"/>
        </w:tabs>
        <w:ind w:left="709" w:hanging="360"/>
      </w:pPr>
      <w:rPr>
        <w:rFonts w:ascii="Wingdings 3" w:hAnsi="Wingdings 3" w:cs="Wingdings 3" w:hint="default"/>
        <w:color w:val="292574" w:themeColor="accent2"/>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36" w15:restartNumberingAfterBreak="0">
    <w:nsid w:val="36A63AD5"/>
    <w:multiLevelType w:val="multilevel"/>
    <w:tmpl w:val="81C84642"/>
    <w:lvl w:ilvl="0">
      <w:start w:val="1"/>
      <w:numFmt w:val="bullet"/>
      <w:isLgl/>
      <w:lvlText w:val="Ø"/>
      <w:lvlJc w:val="left"/>
      <w:pPr>
        <w:tabs>
          <w:tab w:val="num" w:pos="0"/>
        </w:tabs>
        <w:ind w:left="720"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37" w15:restartNumberingAfterBreak="0">
    <w:nsid w:val="391068B3"/>
    <w:multiLevelType w:val="multilevel"/>
    <w:tmpl w:val="D17E4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9164D06"/>
    <w:multiLevelType w:val="multilevel"/>
    <w:tmpl w:val="4A1095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B236659"/>
    <w:multiLevelType w:val="multilevel"/>
    <w:tmpl w:val="4964E530"/>
    <w:lvl w:ilvl="0">
      <w:start w:val="1"/>
      <w:numFmt w:val="bullet"/>
      <w:isLgl/>
      <w:lvlText w:val="Ø"/>
      <w:lvlJc w:val="left"/>
      <w:pPr>
        <w:tabs>
          <w:tab w:val="num" w:pos="0"/>
        </w:tabs>
        <w:ind w:left="709"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40" w15:restartNumberingAfterBreak="0">
    <w:nsid w:val="3CBF227C"/>
    <w:multiLevelType w:val="hybridMultilevel"/>
    <w:tmpl w:val="B4607E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FB66C9F"/>
    <w:multiLevelType w:val="hybridMultilevel"/>
    <w:tmpl w:val="CC8E1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41273A43"/>
    <w:multiLevelType w:val="hybridMultilevel"/>
    <w:tmpl w:val="DF429638"/>
    <w:lvl w:ilvl="0" w:tplc="040C000D">
      <w:start w:val="1"/>
      <w:numFmt w:val="bullet"/>
      <w:lvlText w:val=""/>
      <w:lvlJc w:val="left"/>
      <w:pPr>
        <w:ind w:left="720" w:hanging="360"/>
      </w:pPr>
      <w:rPr>
        <w:rFonts w:ascii="Wingdings" w:hAnsi="Wingdings" w:hint="default"/>
      </w:rPr>
    </w:lvl>
    <w:lvl w:ilvl="1" w:tplc="6E60CA26">
      <w:numFmt w:val="bullet"/>
      <w:lvlText w:val="•"/>
      <w:lvlJc w:val="left"/>
      <w:pPr>
        <w:ind w:left="1785" w:hanging="705"/>
      </w:pPr>
      <w:rPr>
        <w:rFonts w:ascii="Arial" w:eastAsiaTheme="minorHAnsi"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1C61394"/>
    <w:multiLevelType w:val="hybridMultilevel"/>
    <w:tmpl w:val="B1F6CD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422D054B"/>
    <w:multiLevelType w:val="hybridMultilevel"/>
    <w:tmpl w:val="179E89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3863F58"/>
    <w:multiLevelType w:val="hybridMultilevel"/>
    <w:tmpl w:val="A8C4D01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6" w15:restartNumberingAfterBreak="0">
    <w:nsid w:val="45406370"/>
    <w:multiLevelType w:val="multilevel"/>
    <w:tmpl w:val="0C6AC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5760FBF"/>
    <w:multiLevelType w:val="multilevel"/>
    <w:tmpl w:val="6ED8DB5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46881DA9"/>
    <w:multiLevelType w:val="multilevel"/>
    <w:tmpl w:val="0E60F68A"/>
    <w:lvl w:ilvl="0">
      <w:start w:val="1"/>
      <w:numFmt w:val="bullet"/>
      <w:lvlText w:val=""/>
      <w:lvlJc w:val="left"/>
      <w:pPr>
        <w:tabs>
          <w:tab w:val="num" w:pos="0"/>
        </w:tabs>
        <w:ind w:left="720" w:hanging="360"/>
      </w:pPr>
      <w:rPr>
        <w:rFonts w:ascii="Wingdings" w:hAnsi="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46E57379"/>
    <w:multiLevelType w:val="multilevel"/>
    <w:tmpl w:val="78FE0DC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C504DAF"/>
    <w:multiLevelType w:val="multilevel"/>
    <w:tmpl w:val="EB8ABB64"/>
    <w:lvl w:ilvl="0">
      <w:start w:val="1"/>
      <w:numFmt w:val="bullet"/>
      <w:isLgl/>
      <w:lvlText w:val=""/>
      <w:lvlJc w:val="left"/>
      <w:pPr>
        <w:tabs>
          <w:tab w:val="num" w:pos="0"/>
        </w:tabs>
        <w:ind w:left="709" w:hanging="360"/>
      </w:pPr>
      <w:rPr>
        <w:rFonts w:ascii="Wingdings 3" w:hAnsi="Wingdings 3" w:cs="Wingdings 3" w:hint="default"/>
        <w:color w:val="292574" w:themeColor="accent2"/>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51" w15:restartNumberingAfterBreak="0">
    <w:nsid w:val="4F1C2623"/>
    <w:multiLevelType w:val="multilevel"/>
    <w:tmpl w:val="91FE21F6"/>
    <w:lvl w:ilvl="0">
      <w:start w:val="1"/>
      <w:numFmt w:val="bullet"/>
      <w:isLgl/>
      <w:lvlText w:val=""/>
      <w:lvlJc w:val="left"/>
      <w:pPr>
        <w:tabs>
          <w:tab w:val="num" w:pos="0"/>
        </w:tabs>
        <w:ind w:left="709" w:hanging="360"/>
      </w:pPr>
      <w:rPr>
        <w:rFonts w:ascii="Wingdings 3" w:hAnsi="Wingdings 3" w:cs="Wingdings 3" w:hint="default"/>
        <w:color w:val="292574" w:themeColor="accent2"/>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52" w15:restartNumberingAfterBreak="0">
    <w:nsid w:val="4F87319D"/>
    <w:multiLevelType w:val="multilevel"/>
    <w:tmpl w:val="FD623162"/>
    <w:lvl w:ilvl="0">
      <w:start w:val="1"/>
      <w:numFmt w:val="bullet"/>
      <w:isLgl/>
      <w:lvlText w:val="Ø"/>
      <w:lvlJc w:val="left"/>
      <w:pPr>
        <w:tabs>
          <w:tab w:val="num" w:pos="0"/>
        </w:tabs>
        <w:ind w:left="709"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53" w15:restartNumberingAfterBreak="0">
    <w:nsid w:val="50DF4990"/>
    <w:multiLevelType w:val="hybridMultilevel"/>
    <w:tmpl w:val="9B825C4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50EF3716"/>
    <w:multiLevelType w:val="hybridMultilevel"/>
    <w:tmpl w:val="253E2E4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52014839"/>
    <w:multiLevelType w:val="hybridMultilevel"/>
    <w:tmpl w:val="CE762630"/>
    <w:lvl w:ilvl="0" w:tplc="FD54249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54580602"/>
    <w:multiLevelType w:val="hybridMultilevel"/>
    <w:tmpl w:val="6260963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556B243B"/>
    <w:multiLevelType w:val="hybridMultilevel"/>
    <w:tmpl w:val="2742786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568B560D"/>
    <w:multiLevelType w:val="multilevel"/>
    <w:tmpl w:val="E3E8CB7E"/>
    <w:lvl w:ilvl="0">
      <w:start w:val="1"/>
      <w:numFmt w:val="bullet"/>
      <w:isLgl/>
      <w:lvlText w:val="Ø"/>
      <w:lvlJc w:val="left"/>
      <w:pPr>
        <w:tabs>
          <w:tab w:val="num" w:pos="0"/>
        </w:tabs>
        <w:ind w:left="720"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59" w15:restartNumberingAfterBreak="0">
    <w:nsid w:val="59320E9A"/>
    <w:multiLevelType w:val="multilevel"/>
    <w:tmpl w:val="A8820226"/>
    <w:lvl w:ilvl="0">
      <w:start w:val="1"/>
      <w:numFmt w:val="bullet"/>
      <w:isLgl/>
      <w:lvlText w:val="Ø"/>
      <w:lvlJc w:val="left"/>
      <w:pPr>
        <w:tabs>
          <w:tab w:val="num" w:pos="0"/>
        </w:tabs>
        <w:ind w:left="720"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60" w15:restartNumberingAfterBreak="0">
    <w:nsid w:val="5A065FBE"/>
    <w:multiLevelType w:val="multilevel"/>
    <w:tmpl w:val="A2A4F2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5A971B9F"/>
    <w:multiLevelType w:val="hybridMultilevel"/>
    <w:tmpl w:val="AFAAB5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FE10469"/>
    <w:multiLevelType w:val="hybridMultilevel"/>
    <w:tmpl w:val="5E08E5E8"/>
    <w:lvl w:ilvl="0" w:tplc="FD54249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621E58C5"/>
    <w:multiLevelType w:val="multilevel"/>
    <w:tmpl w:val="9572CC88"/>
    <w:lvl w:ilvl="0">
      <w:start w:val="1"/>
      <w:numFmt w:val="bullet"/>
      <w:lvlText w:val=""/>
      <w:lvlJc w:val="left"/>
      <w:pPr>
        <w:tabs>
          <w:tab w:val="num" w:pos="0"/>
        </w:tabs>
        <w:ind w:left="720" w:hanging="360"/>
      </w:pPr>
      <w:rPr>
        <w:rFonts w:ascii="Wingdings" w:hAnsi="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628A03F6"/>
    <w:multiLevelType w:val="multilevel"/>
    <w:tmpl w:val="22A6C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3324825"/>
    <w:multiLevelType w:val="multilevel"/>
    <w:tmpl w:val="D15E7D06"/>
    <w:lvl w:ilvl="0">
      <w:start w:val="1"/>
      <w:numFmt w:val="bullet"/>
      <w:isLgl/>
      <w:lvlText w:val=""/>
      <w:lvlJc w:val="left"/>
      <w:pPr>
        <w:tabs>
          <w:tab w:val="num" w:pos="0"/>
        </w:tabs>
        <w:ind w:left="720" w:hanging="360"/>
      </w:pPr>
      <w:rPr>
        <w:rFonts w:ascii="Wingdings 3" w:hAnsi="Wingdings 3" w:cs="Wingdings 3" w:hint="default"/>
        <w:color w:val="292574" w:themeColor="accent2"/>
        <w:sz w:val="22"/>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66" w15:restartNumberingAfterBreak="0">
    <w:nsid w:val="65D03BDA"/>
    <w:multiLevelType w:val="hybridMultilevel"/>
    <w:tmpl w:val="A96AC36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665E756E"/>
    <w:multiLevelType w:val="multilevel"/>
    <w:tmpl w:val="9848A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6B962BF8"/>
    <w:multiLevelType w:val="multilevel"/>
    <w:tmpl w:val="6442A362"/>
    <w:lvl w:ilvl="0">
      <w:start w:val="1"/>
      <w:numFmt w:val="bullet"/>
      <w:lvlText w:val=""/>
      <w:lvlJc w:val="left"/>
      <w:pPr>
        <w:tabs>
          <w:tab w:val="num" w:pos="0"/>
        </w:tabs>
        <w:ind w:left="720" w:hanging="360"/>
      </w:pPr>
      <w:rPr>
        <w:rFonts w:ascii="Wingdings" w:hAnsi="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6F4F01E2"/>
    <w:multiLevelType w:val="multilevel"/>
    <w:tmpl w:val="E460CECA"/>
    <w:lvl w:ilvl="0">
      <w:start w:val="1"/>
      <w:numFmt w:val="bullet"/>
      <w:isLgl/>
      <w:lvlText w:val=""/>
      <w:lvlJc w:val="left"/>
      <w:pPr>
        <w:tabs>
          <w:tab w:val="num" w:pos="0"/>
        </w:tabs>
        <w:ind w:left="709" w:hanging="360"/>
      </w:pPr>
      <w:rPr>
        <w:rFonts w:ascii="Wingdings 3" w:hAnsi="Wingdings 3" w:cs="Wingdings 3" w:hint="default"/>
        <w:color w:val="292574" w:themeColor="accent2"/>
      </w:rPr>
    </w:lvl>
    <w:lvl w:ilvl="1">
      <w:start w:val="1"/>
      <w:numFmt w:val="bullet"/>
      <w:isLgl/>
      <w:lvlText w:val="o"/>
      <w:lvlJc w:val="left"/>
      <w:pPr>
        <w:tabs>
          <w:tab w:val="num" w:pos="0"/>
        </w:tabs>
        <w:ind w:left="1429" w:hanging="360"/>
      </w:pPr>
      <w:rPr>
        <w:rFonts w:ascii="Courier New" w:hAnsi="Courier New" w:cs="Courier New" w:hint="default"/>
      </w:rPr>
    </w:lvl>
    <w:lvl w:ilvl="2">
      <w:start w:val="1"/>
      <w:numFmt w:val="bullet"/>
      <w:isLgl/>
      <w:lvlText w:val="§"/>
      <w:lvlJc w:val="left"/>
      <w:pPr>
        <w:tabs>
          <w:tab w:val="num" w:pos="0"/>
        </w:tabs>
        <w:ind w:left="2149" w:hanging="360"/>
      </w:pPr>
      <w:rPr>
        <w:rFonts w:ascii="Wingdings" w:hAnsi="Wingdings" w:cs="Wingdings" w:hint="default"/>
      </w:rPr>
    </w:lvl>
    <w:lvl w:ilvl="3">
      <w:start w:val="1"/>
      <w:numFmt w:val="bullet"/>
      <w:isLgl/>
      <w:lvlText w:val="·"/>
      <w:lvlJc w:val="left"/>
      <w:pPr>
        <w:tabs>
          <w:tab w:val="num" w:pos="0"/>
        </w:tabs>
        <w:ind w:left="2869" w:hanging="360"/>
      </w:pPr>
      <w:rPr>
        <w:rFonts w:ascii="Symbol" w:hAnsi="Symbol" w:cs="Symbol" w:hint="default"/>
      </w:rPr>
    </w:lvl>
    <w:lvl w:ilvl="4">
      <w:start w:val="1"/>
      <w:numFmt w:val="bullet"/>
      <w:isLgl/>
      <w:lvlText w:val="o"/>
      <w:lvlJc w:val="left"/>
      <w:pPr>
        <w:tabs>
          <w:tab w:val="num" w:pos="0"/>
        </w:tabs>
        <w:ind w:left="3589" w:hanging="360"/>
      </w:pPr>
      <w:rPr>
        <w:rFonts w:ascii="Courier New" w:hAnsi="Courier New" w:cs="Courier New" w:hint="default"/>
      </w:rPr>
    </w:lvl>
    <w:lvl w:ilvl="5">
      <w:start w:val="1"/>
      <w:numFmt w:val="bullet"/>
      <w:isLgl/>
      <w:lvlText w:val="§"/>
      <w:lvlJc w:val="left"/>
      <w:pPr>
        <w:tabs>
          <w:tab w:val="num" w:pos="0"/>
        </w:tabs>
        <w:ind w:left="4309" w:hanging="360"/>
      </w:pPr>
      <w:rPr>
        <w:rFonts w:ascii="Wingdings" w:hAnsi="Wingdings" w:cs="Wingdings" w:hint="default"/>
      </w:rPr>
    </w:lvl>
    <w:lvl w:ilvl="6">
      <w:start w:val="1"/>
      <w:numFmt w:val="bullet"/>
      <w:isLgl/>
      <w:lvlText w:val="·"/>
      <w:lvlJc w:val="left"/>
      <w:pPr>
        <w:tabs>
          <w:tab w:val="num" w:pos="0"/>
        </w:tabs>
        <w:ind w:left="5029" w:hanging="360"/>
      </w:pPr>
      <w:rPr>
        <w:rFonts w:ascii="Symbol" w:hAnsi="Symbol" w:cs="Symbol" w:hint="default"/>
      </w:rPr>
    </w:lvl>
    <w:lvl w:ilvl="7">
      <w:start w:val="1"/>
      <w:numFmt w:val="bullet"/>
      <w:isLgl/>
      <w:lvlText w:val="o"/>
      <w:lvlJc w:val="left"/>
      <w:pPr>
        <w:tabs>
          <w:tab w:val="num" w:pos="0"/>
        </w:tabs>
        <w:ind w:left="5749" w:hanging="360"/>
      </w:pPr>
      <w:rPr>
        <w:rFonts w:ascii="Courier New" w:hAnsi="Courier New" w:cs="Courier New" w:hint="default"/>
      </w:rPr>
    </w:lvl>
    <w:lvl w:ilvl="8">
      <w:start w:val="1"/>
      <w:numFmt w:val="bullet"/>
      <w:isLgl/>
      <w:lvlText w:val="§"/>
      <w:lvlJc w:val="left"/>
      <w:pPr>
        <w:tabs>
          <w:tab w:val="num" w:pos="0"/>
        </w:tabs>
        <w:ind w:left="6469" w:hanging="360"/>
      </w:pPr>
      <w:rPr>
        <w:rFonts w:ascii="Wingdings" w:hAnsi="Wingdings" w:cs="Wingdings" w:hint="default"/>
      </w:rPr>
    </w:lvl>
  </w:abstractNum>
  <w:abstractNum w:abstractNumId="70" w15:restartNumberingAfterBreak="0">
    <w:nsid w:val="742752D0"/>
    <w:multiLevelType w:val="hybridMultilevel"/>
    <w:tmpl w:val="7A8CD4FC"/>
    <w:lvl w:ilvl="0" w:tplc="040C000B">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71" w15:restartNumberingAfterBreak="0">
    <w:nsid w:val="751C750B"/>
    <w:multiLevelType w:val="hybridMultilevel"/>
    <w:tmpl w:val="86784036"/>
    <w:lvl w:ilvl="0" w:tplc="040C000D">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2" w15:restartNumberingAfterBreak="0">
    <w:nsid w:val="784C4ADC"/>
    <w:multiLevelType w:val="multilevel"/>
    <w:tmpl w:val="39F6EBFC"/>
    <w:lvl w:ilvl="0">
      <w:start w:val="1"/>
      <w:numFmt w:val="bullet"/>
      <w:isLgl/>
      <w:lvlText w:val="Ø"/>
      <w:lvlJc w:val="left"/>
      <w:pPr>
        <w:tabs>
          <w:tab w:val="num" w:pos="0"/>
        </w:tabs>
        <w:ind w:left="709"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73" w15:restartNumberingAfterBreak="0">
    <w:nsid w:val="7A2D6908"/>
    <w:multiLevelType w:val="hybridMultilevel"/>
    <w:tmpl w:val="535A01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7BA7014A"/>
    <w:multiLevelType w:val="multilevel"/>
    <w:tmpl w:val="81900130"/>
    <w:lvl w:ilvl="0">
      <w:start w:val="1"/>
      <w:numFmt w:val="decimal"/>
      <w:pStyle w:val="Titre1"/>
      <w:lvlText w:val="%1"/>
      <w:lvlJc w:val="left"/>
      <w:pPr>
        <w:ind w:left="432" w:hanging="432"/>
      </w:pPr>
    </w:lvl>
    <w:lvl w:ilvl="1">
      <w:start w:val="1"/>
      <w:numFmt w:val="decimal"/>
      <w:pStyle w:val="Titre2"/>
      <w:lvlText w:val="%1.%2"/>
      <w:lvlJc w:val="left"/>
      <w:pPr>
        <w:ind w:left="142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75" w15:restartNumberingAfterBreak="0">
    <w:nsid w:val="7C355E65"/>
    <w:multiLevelType w:val="multilevel"/>
    <w:tmpl w:val="094CE646"/>
    <w:lvl w:ilvl="0">
      <w:start w:val="1"/>
      <w:numFmt w:val="bullet"/>
      <w:isLgl/>
      <w:lvlText w:val="Ø"/>
      <w:lvlJc w:val="left"/>
      <w:pPr>
        <w:tabs>
          <w:tab w:val="num" w:pos="0"/>
        </w:tabs>
        <w:ind w:left="709"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76" w15:restartNumberingAfterBreak="0">
    <w:nsid w:val="7F082A08"/>
    <w:multiLevelType w:val="hybridMultilevel"/>
    <w:tmpl w:val="522A9F02"/>
    <w:lvl w:ilvl="0" w:tplc="FD54249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7F2C0813"/>
    <w:multiLevelType w:val="multilevel"/>
    <w:tmpl w:val="05D044B6"/>
    <w:lvl w:ilvl="0">
      <w:start w:val="1"/>
      <w:numFmt w:val="bullet"/>
      <w:isLgl/>
      <w:lvlText w:val="Ø"/>
      <w:lvlJc w:val="left"/>
      <w:pPr>
        <w:tabs>
          <w:tab w:val="num" w:pos="0"/>
        </w:tabs>
        <w:ind w:left="720" w:hanging="360"/>
      </w:pPr>
      <w:rPr>
        <w:rFonts w:ascii="Wingdings" w:hAnsi="Wingdings" w:cs="Wingdings" w:hint="default"/>
      </w:rPr>
    </w:lvl>
    <w:lvl w:ilvl="1">
      <w:start w:val="1"/>
      <w:numFmt w:val="bullet"/>
      <w:isLgl/>
      <w:lvlText w:val="o"/>
      <w:lvlJc w:val="left"/>
      <w:pPr>
        <w:tabs>
          <w:tab w:val="num" w:pos="0"/>
        </w:tabs>
        <w:ind w:left="1440" w:hanging="360"/>
      </w:pPr>
      <w:rPr>
        <w:rFonts w:ascii="Courier New" w:hAnsi="Courier New" w:cs="Courier New" w:hint="default"/>
      </w:rPr>
    </w:lvl>
    <w:lvl w:ilvl="2">
      <w:start w:val="1"/>
      <w:numFmt w:val="bullet"/>
      <w:isLgl/>
      <w:lvlText w:val="§"/>
      <w:lvlJc w:val="left"/>
      <w:pPr>
        <w:tabs>
          <w:tab w:val="num" w:pos="0"/>
        </w:tabs>
        <w:ind w:left="2160" w:hanging="360"/>
      </w:pPr>
      <w:rPr>
        <w:rFonts w:ascii="Wingdings" w:hAnsi="Wingdings" w:cs="Wingdings" w:hint="default"/>
      </w:rPr>
    </w:lvl>
    <w:lvl w:ilvl="3">
      <w:start w:val="1"/>
      <w:numFmt w:val="bullet"/>
      <w:isLgl/>
      <w:lvlText w:val="·"/>
      <w:lvlJc w:val="left"/>
      <w:pPr>
        <w:tabs>
          <w:tab w:val="num" w:pos="0"/>
        </w:tabs>
        <w:ind w:left="2880" w:hanging="360"/>
      </w:pPr>
      <w:rPr>
        <w:rFonts w:ascii="Symbol" w:hAnsi="Symbol" w:cs="Symbol" w:hint="default"/>
      </w:rPr>
    </w:lvl>
    <w:lvl w:ilvl="4">
      <w:start w:val="1"/>
      <w:numFmt w:val="bullet"/>
      <w:isLgl/>
      <w:lvlText w:val="o"/>
      <w:lvlJc w:val="left"/>
      <w:pPr>
        <w:tabs>
          <w:tab w:val="num" w:pos="0"/>
        </w:tabs>
        <w:ind w:left="3600" w:hanging="360"/>
      </w:pPr>
      <w:rPr>
        <w:rFonts w:ascii="Courier New" w:hAnsi="Courier New" w:cs="Courier New" w:hint="default"/>
      </w:rPr>
    </w:lvl>
    <w:lvl w:ilvl="5">
      <w:start w:val="1"/>
      <w:numFmt w:val="bullet"/>
      <w:isLgl/>
      <w:lvlText w:val="§"/>
      <w:lvlJc w:val="left"/>
      <w:pPr>
        <w:tabs>
          <w:tab w:val="num" w:pos="0"/>
        </w:tabs>
        <w:ind w:left="4320" w:hanging="360"/>
      </w:pPr>
      <w:rPr>
        <w:rFonts w:ascii="Wingdings" w:hAnsi="Wingdings" w:cs="Wingdings" w:hint="default"/>
      </w:rPr>
    </w:lvl>
    <w:lvl w:ilvl="6">
      <w:start w:val="1"/>
      <w:numFmt w:val="bullet"/>
      <w:isLgl/>
      <w:lvlText w:val="·"/>
      <w:lvlJc w:val="left"/>
      <w:pPr>
        <w:tabs>
          <w:tab w:val="num" w:pos="0"/>
        </w:tabs>
        <w:ind w:left="5040" w:hanging="360"/>
      </w:pPr>
      <w:rPr>
        <w:rFonts w:ascii="Symbol" w:hAnsi="Symbol" w:cs="Symbol" w:hint="default"/>
      </w:rPr>
    </w:lvl>
    <w:lvl w:ilvl="7">
      <w:start w:val="1"/>
      <w:numFmt w:val="bullet"/>
      <w:isLgl/>
      <w:lvlText w:val="o"/>
      <w:lvlJc w:val="left"/>
      <w:pPr>
        <w:tabs>
          <w:tab w:val="num" w:pos="0"/>
        </w:tabs>
        <w:ind w:left="5760" w:hanging="360"/>
      </w:pPr>
      <w:rPr>
        <w:rFonts w:ascii="Courier New" w:hAnsi="Courier New" w:cs="Courier New" w:hint="default"/>
      </w:rPr>
    </w:lvl>
    <w:lvl w:ilvl="8">
      <w:start w:val="1"/>
      <w:numFmt w:val="bullet"/>
      <w:isLgl/>
      <w:lvlText w:val="§"/>
      <w:lvlJc w:val="left"/>
      <w:pPr>
        <w:tabs>
          <w:tab w:val="num" w:pos="0"/>
        </w:tabs>
        <w:ind w:left="6480" w:hanging="360"/>
      </w:pPr>
      <w:rPr>
        <w:rFonts w:ascii="Wingdings" w:hAnsi="Wingdings" w:cs="Wingdings" w:hint="default"/>
      </w:rPr>
    </w:lvl>
  </w:abstractNum>
  <w:abstractNum w:abstractNumId="78" w15:restartNumberingAfterBreak="0">
    <w:nsid w:val="7F472039"/>
    <w:multiLevelType w:val="hybridMultilevel"/>
    <w:tmpl w:val="DAE8986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7FD03571"/>
    <w:multiLevelType w:val="multilevel"/>
    <w:tmpl w:val="EA0454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999431014">
    <w:abstractNumId w:val="74"/>
  </w:num>
  <w:num w:numId="2" w16cid:durableId="1728991158">
    <w:abstractNumId w:val="12"/>
  </w:num>
  <w:num w:numId="3" w16cid:durableId="78672359">
    <w:abstractNumId w:val="2"/>
  </w:num>
  <w:num w:numId="4" w16cid:durableId="317735904">
    <w:abstractNumId w:val="18"/>
  </w:num>
  <w:num w:numId="5" w16cid:durableId="1511602173">
    <w:abstractNumId w:val="4"/>
  </w:num>
  <w:num w:numId="6" w16cid:durableId="1972250697">
    <w:abstractNumId w:val="31"/>
  </w:num>
  <w:num w:numId="7" w16cid:durableId="1142191671">
    <w:abstractNumId w:val="25"/>
  </w:num>
  <w:num w:numId="8" w16cid:durableId="303315145">
    <w:abstractNumId w:val="16"/>
  </w:num>
  <w:num w:numId="9" w16cid:durableId="1428113225">
    <w:abstractNumId w:val="39"/>
  </w:num>
  <w:num w:numId="10" w16cid:durableId="817961665">
    <w:abstractNumId w:val="52"/>
  </w:num>
  <w:num w:numId="11" w16cid:durableId="1142966817">
    <w:abstractNumId w:val="75"/>
  </w:num>
  <w:num w:numId="12" w16cid:durableId="1226187313">
    <w:abstractNumId w:val="72"/>
  </w:num>
  <w:num w:numId="13" w16cid:durableId="420177018">
    <w:abstractNumId w:val="77"/>
  </w:num>
  <w:num w:numId="14" w16cid:durableId="143206007">
    <w:abstractNumId w:val="58"/>
  </w:num>
  <w:num w:numId="15" w16cid:durableId="1901095470">
    <w:abstractNumId w:val="7"/>
  </w:num>
  <w:num w:numId="16" w16cid:durableId="1578058076">
    <w:abstractNumId w:val="69"/>
  </w:num>
  <w:num w:numId="17" w16cid:durableId="47533329">
    <w:abstractNumId w:val="51"/>
  </w:num>
  <w:num w:numId="18" w16cid:durableId="472524237">
    <w:abstractNumId w:val="35"/>
  </w:num>
  <w:num w:numId="19" w16cid:durableId="249773250">
    <w:abstractNumId w:val="50"/>
  </w:num>
  <w:num w:numId="20" w16cid:durableId="737286418">
    <w:abstractNumId w:val="10"/>
  </w:num>
  <w:num w:numId="21" w16cid:durableId="872422501">
    <w:abstractNumId w:val="1"/>
  </w:num>
  <w:num w:numId="22" w16cid:durableId="783309666">
    <w:abstractNumId w:val="59"/>
  </w:num>
  <w:num w:numId="23" w16cid:durableId="55206871">
    <w:abstractNumId w:val="36"/>
  </w:num>
  <w:num w:numId="24" w16cid:durableId="566694575">
    <w:abstractNumId w:val="14"/>
  </w:num>
  <w:num w:numId="25" w16cid:durableId="1188330404">
    <w:abstractNumId w:val="65"/>
  </w:num>
  <w:num w:numId="26" w16cid:durableId="1134056907">
    <w:abstractNumId w:val="27"/>
  </w:num>
  <w:num w:numId="27" w16cid:durableId="2061199689">
    <w:abstractNumId w:val="20"/>
  </w:num>
  <w:num w:numId="28" w16cid:durableId="213589441">
    <w:abstractNumId w:val="43"/>
  </w:num>
  <w:num w:numId="29" w16cid:durableId="395397264">
    <w:abstractNumId w:val="45"/>
  </w:num>
  <w:num w:numId="30" w16cid:durableId="554395610">
    <w:abstractNumId w:val="8"/>
  </w:num>
  <w:num w:numId="31" w16cid:durableId="539633587">
    <w:abstractNumId w:val="40"/>
  </w:num>
  <w:num w:numId="32" w16cid:durableId="1170875303">
    <w:abstractNumId w:val="34"/>
  </w:num>
  <w:num w:numId="33" w16cid:durableId="1266769267">
    <w:abstractNumId w:val="29"/>
  </w:num>
  <w:num w:numId="34" w16cid:durableId="644744654">
    <w:abstractNumId w:val="68"/>
  </w:num>
  <w:num w:numId="35" w16cid:durableId="1789733802">
    <w:abstractNumId w:val="67"/>
  </w:num>
  <w:num w:numId="36" w16cid:durableId="2095394853">
    <w:abstractNumId w:val="24"/>
  </w:num>
  <w:num w:numId="37" w16cid:durableId="330717783">
    <w:abstractNumId w:val="73"/>
  </w:num>
  <w:num w:numId="38" w16cid:durableId="645280258">
    <w:abstractNumId w:val="30"/>
  </w:num>
  <w:num w:numId="39" w16cid:durableId="2066219879">
    <w:abstractNumId w:val="60"/>
  </w:num>
  <w:num w:numId="40" w16cid:durableId="1137842521">
    <w:abstractNumId w:val="47"/>
  </w:num>
  <w:num w:numId="41" w16cid:durableId="1174302202">
    <w:abstractNumId w:val="23"/>
  </w:num>
  <w:num w:numId="42" w16cid:durableId="1712535775">
    <w:abstractNumId w:val="15"/>
  </w:num>
  <w:num w:numId="43" w16cid:durableId="2167816">
    <w:abstractNumId w:val="79"/>
  </w:num>
  <w:num w:numId="44" w16cid:durableId="1075931941">
    <w:abstractNumId w:val="53"/>
  </w:num>
  <w:num w:numId="45" w16cid:durableId="661548466">
    <w:abstractNumId w:val="66"/>
  </w:num>
  <w:num w:numId="46" w16cid:durableId="1497038926">
    <w:abstractNumId w:val="5"/>
  </w:num>
  <w:num w:numId="47" w16cid:durableId="48965499">
    <w:abstractNumId w:val="26"/>
  </w:num>
  <w:num w:numId="48" w16cid:durableId="1762606545">
    <w:abstractNumId w:val="78"/>
  </w:num>
  <w:num w:numId="49" w16cid:durableId="18624912">
    <w:abstractNumId w:val="28"/>
  </w:num>
  <w:num w:numId="50" w16cid:durableId="1187400409">
    <w:abstractNumId w:val="61"/>
  </w:num>
  <w:num w:numId="51" w16cid:durableId="193688852">
    <w:abstractNumId w:val="62"/>
  </w:num>
  <w:num w:numId="52" w16cid:durableId="1127314651">
    <w:abstractNumId w:val="76"/>
  </w:num>
  <w:num w:numId="53" w16cid:durableId="637413481">
    <w:abstractNumId w:val="55"/>
  </w:num>
  <w:num w:numId="54" w16cid:durableId="4796359">
    <w:abstractNumId w:val="32"/>
  </w:num>
  <w:num w:numId="55" w16cid:durableId="2097941205">
    <w:abstractNumId w:val="57"/>
  </w:num>
  <w:num w:numId="56" w16cid:durableId="441412983">
    <w:abstractNumId w:val="71"/>
  </w:num>
  <w:num w:numId="57" w16cid:durableId="1254630460">
    <w:abstractNumId w:val="54"/>
  </w:num>
  <w:num w:numId="58" w16cid:durableId="1097479141">
    <w:abstractNumId w:val="6"/>
  </w:num>
  <w:num w:numId="59" w16cid:durableId="353507185">
    <w:abstractNumId w:val="9"/>
  </w:num>
  <w:num w:numId="60" w16cid:durableId="1536772572">
    <w:abstractNumId w:val="3"/>
  </w:num>
  <w:num w:numId="61" w16cid:durableId="648290128">
    <w:abstractNumId w:val="49"/>
  </w:num>
  <w:num w:numId="62" w16cid:durableId="1783693875">
    <w:abstractNumId w:val="48"/>
  </w:num>
  <w:num w:numId="63" w16cid:durableId="730268505">
    <w:abstractNumId w:val="63"/>
  </w:num>
  <w:num w:numId="64" w16cid:durableId="240020984">
    <w:abstractNumId w:val="13"/>
  </w:num>
  <w:num w:numId="65" w16cid:durableId="993604478">
    <w:abstractNumId w:val="56"/>
  </w:num>
  <w:num w:numId="66" w16cid:durableId="1422676069">
    <w:abstractNumId w:val="44"/>
  </w:num>
  <w:num w:numId="67" w16cid:durableId="927077637">
    <w:abstractNumId w:val="70"/>
  </w:num>
  <w:num w:numId="68" w16cid:durableId="29109713">
    <w:abstractNumId w:val="42"/>
  </w:num>
  <w:num w:numId="69" w16cid:durableId="791904103">
    <w:abstractNumId w:val="0"/>
  </w:num>
  <w:num w:numId="70" w16cid:durableId="1822622661">
    <w:abstractNumId w:val="21"/>
  </w:num>
  <w:num w:numId="71" w16cid:durableId="1013141620">
    <w:abstractNumId w:val="46"/>
  </w:num>
  <w:num w:numId="72" w16cid:durableId="2014409993">
    <w:abstractNumId w:val="37"/>
  </w:num>
  <w:num w:numId="73" w16cid:durableId="1666593819">
    <w:abstractNumId w:val="19"/>
  </w:num>
  <w:num w:numId="74" w16cid:durableId="1624967335">
    <w:abstractNumId w:val="22"/>
  </w:num>
  <w:num w:numId="75" w16cid:durableId="1508207106">
    <w:abstractNumId w:val="64"/>
  </w:num>
  <w:num w:numId="76" w16cid:durableId="1692340534">
    <w:abstractNumId w:val="38"/>
  </w:num>
  <w:num w:numId="77" w16cid:durableId="1126267211">
    <w:abstractNumId w:val="11"/>
  </w:num>
  <w:num w:numId="78" w16cid:durableId="1528056212">
    <w:abstractNumId w:val="41"/>
  </w:num>
  <w:num w:numId="79" w16cid:durableId="760026162">
    <w:abstractNumId w:val="33"/>
  </w:num>
  <w:num w:numId="80" w16cid:durableId="1342004193">
    <w:abstractNumId w:val="1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5B5"/>
    <w:rsid w:val="00004544"/>
    <w:rsid w:val="00004AEE"/>
    <w:rsid w:val="00005975"/>
    <w:rsid w:val="0001510A"/>
    <w:rsid w:val="000270FA"/>
    <w:rsid w:val="000315E1"/>
    <w:rsid w:val="0003303B"/>
    <w:rsid w:val="0003367F"/>
    <w:rsid w:val="0003468D"/>
    <w:rsid w:val="00037D4B"/>
    <w:rsid w:val="0004054B"/>
    <w:rsid w:val="00072F7C"/>
    <w:rsid w:val="00075CCA"/>
    <w:rsid w:val="0007726B"/>
    <w:rsid w:val="00086C66"/>
    <w:rsid w:val="000902CE"/>
    <w:rsid w:val="000909C8"/>
    <w:rsid w:val="00096B02"/>
    <w:rsid w:val="0009740C"/>
    <w:rsid w:val="00097648"/>
    <w:rsid w:val="000A26FB"/>
    <w:rsid w:val="000A32FE"/>
    <w:rsid w:val="000B050E"/>
    <w:rsid w:val="000B23D7"/>
    <w:rsid w:val="000B3205"/>
    <w:rsid w:val="000B7094"/>
    <w:rsid w:val="000C1E33"/>
    <w:rsid w:val="000C2031"/>
    <w:rsid w:val="000D5F27"/>
    <w:rsid w:val="000D7048"/>
    <w:rsid w:val="000D77C9"/>
    <w:rsid w:val="000E2779"/>
    <w:rsid w:val="000F6359"/>
    <w:rsid w:val="00110FFE"/>
    <w:rsid w:val="0011450A"/>
    <w:rsid w:val="00116073"/>
    <w:rsid w:val="00127AEE"/>
    <w:rsid w:val="00132E09"/>
    <w:rsid w:val="0014655C"/>
    <w:rsid w:val="00150542"/>
    <w:rsid w:val="00151CCA"/>
    <w:rsid w:val="00155122"/>
    <w:rsid w:val="001562CB"/>
    <w:rsid w:val="0016300C"/>
    <w:rsid w:val="001630D0"/>
    <w:rsid w:val="00165C01"/>
    <w:rsid w:val="00181020"/>
    <w:rsid w:val="00181074"/>
    <w:rsid w:val="0018647D"/>
    <w:rsid w:val="00191222"/>
    <w:rsid w:val="00191B6D"/>
    <w:rsid w:val="0019437A"/>
    <w:rsid w:val="001975F2"/>
    <w:rsid w:val="001A0C20"/>
    <w:rsid w:val="001A148D"/>
    <w:rsid w:val="001A66F1"/>
    <w:rsid w:val="001B0CE4"/>
    <w:rsid w:val="001B2DD4"/>
    <w:rsid w:val="001B55FE"/>
    <w:rsid w:val="001C1EBA"/>
    <w:rsid w:val="001C3340"/>
    <w:rsid w:val="001C3AED"/>
    <w:rsid w:val="001D0C6B"/>
    <w:rsid w:val="001D3CEB"/>
    <w:rsid w:val="001D4CBA"/>
    <w:rsid w:val="001E0FD6"/>
    <w:rsid w:val="001E2BCB"/>
    <w:rsid w:val="001E2D5E"/>
    <w:rsid w:val="001E396A"/>
    <w:rsid w:val="001E66DE"/>
    <w:rsid w:val="001F0BB8"/>
    <w:rsid w:val="001F19BE"/>
    <w:rsid w:val="00200EC9"/>
    <w:rsid w:val="00203B38"/>
    <w:rsid w:val="00207CFC"/>
    <w:rsid w:val="0021107C"/>
    <w:rsid w:val="002112DC"/>
    <w:rsid w:val="00212E8F"/>
    <w:rsid w:val="00217051"/>
    <w:rsid w:val="002203DE"/>
    <w:rsid w:val="00225BE9"/>
    <w:rsid w:val="0022669E"/>
    <w:rsid w:val="00233DDC"/>
    <w:rsid w:val="00237994"/>
    <w:rsid w:val="00240A23"/>
    <w:rsid w:val="00241018"/>
    <w:rsid w:val="00242DF0"/>
    <w:rsid w:val="00243366"/>
    <w:rsid w:val="0026009F"/>
    <w:rsid w:val="002640E5"/>
    <w:rsid w:val="00271B7C"/>
    <w:rsid w:val="00272114"/>
    <w:rsid w:val="00277A0D"/>
    <w:rsid w:val="002815E3"/>
    <w:rsid w:val="00284874"/>
    <w:rsid w:val="00284A35"/>
    <w:rsid w:val="00284E6E"/>
    <w:rsid w:val="0029240F"/>
    <w:rsid w:val="002928FD"/>
    <w:rsid w:val="00294C7C"/>
    <w:rsid w:val="00296867"/>
    <w:rsid w:val="00296E14"/>
    <w:rsid w:val="002A252B"/>
    <w:rsid w:val="002B2167"/>
    <w:rsid w:val="002C5E60"/>
    <w:rsid w:val="002F75CA"/>
    <w:rsid w:val="00300740"/>
    <w:rsid w:val="00305E97"/>
    <w:rsid w:val="00311AB2"/>
    <w:rsid w:val="00314FEE"/>
    <w:rsid w:val="00316673"/>
    <w:rsid w:val="00324EF2"/>
    <w:rsid w:val="00325155"/>
    <w:rsid w:val="00333588"/>
    <w:rsid w:val="0033522B"/>
    <w:rsid w:val="0035188E"/>
    <w:rsid w:val="003525AB"/>
    <w:rsid w:val="003574C2"/>
    <w:rsid w:val="003668E4"/>
    <w:rsid w:val="00367197"/>
    <w:rsid w:val="00370778"/>
    <w:rsid w:val="003746A3"/>
    <w:rsid w:val="00375032"/>
    <w:rsid w:val="00383A2A"/>
    <w:rsid w:val="003879DF"/>
    <w:rsid w:val="0039031F"/>
    <w:rsid w:val="003965BD"/>
    <w:rsid w:val="003A0799"/>
    <w:rsid w:val="003A3507"/>
    <w:rsid w:val="003A4340"/>
    <w:rsid w:val="003A43EC"/>
    <w:rsid w:val="003A53E0"/>
    <w:rsid w:val="003B04B7"/>
    <w:rsid w:val="003B336E"/>
    <w:rsid w:val="003D2E4E"/>
    <w:rsid w:val="003E5A77"/>
    <w:rsid w:val="003F17B0"/>
    <w:rsid w:val="004079F2"/>
    <w:rsid w:val="004137B5"/>
    <w:rsid w:val="00413834"/>
    <w:rsid w:val="004238FF"/>
    <w:rsid w:val="004245B5"/>
    <w:rsid w:val="004247A3"/>
    <w:rsid w:val="00424BD5"/>
    <w:rsid w:val="0042704D"/>
    <w:rsid w:val="00427E5F"/>
    <w:rsid w:val="00434533"/>
    <w:rsid w:val="00452A93"/>
    <w:rsid w:val="00457752"/>
    <w:rsid w:val="004616A5"/>
    <w:rsid w:val="00461C56"/>
    <w:rsid w:val="00463739"/>
    <w:rsid w:val="00464B23"/>
    <w:rsid w:val="00465EAB"/>
    <w:rsid w:val="00466C0B"/>
    <w:rsid w:val="00473AB7"/>
    <w:rsid w:val="004744C4"/>
    <w:rsid w:val="00475841"/>
    <w:rsid w:val="00477CED"/>
    <w:rsid w:val="004857DF"/>
    <w:rsid w:val="004A276C"/>
    <w:rsid w:val="004A2BD8"/>
    <w:rsid w:val="004A5FDC"/>
    <w:rsid w:val="004B13F5"/>
    <w:rsid w:val="004B7BD7"/>
    <w:rsid w:val="004B7D23"/>
    <w:rsid w:val="004C51D4"/>
    <w:rsid w:val="004D12BC"/>
    <w:rsid w:val="004D6E0A"/>
    <w:rsid w:val="004D7F3C"/>
    <w:rsid w:val="004E1933"/>
    <w:rsid w:val="004E5FCE"/>
    <w:rsid w:val="004E6748"/>
    <w:rsid w:val="004F2BD7"/>
    <w:rsid w:val="004F4EFD"/>
    <w:rsid w:val="004F52E1"/>
    <w:rsid w:val="004F630E"/>
    <w:rsid w:val="00500F1F"/>
    <w:rsid w:val="005077E8"/>
    <w:rsid w:val="005118DA"/>
    <w:rsid w:val="00514DC3"/>
    <w:rsid w:val="00515E50"/>
    <w:rsid w:val="00520F60"/>
    <w:rsid w:val="00522F70"/>
    <w:rsid w:val="00523550"/>
    <w:rsid w:val="00525DEB"/>
    <w:rsid w:val="00536BB8"/>
    <w:rsid w:val="00537E4A"/>
    <w:rsid w:val="0054069A"/>
    <w:rsid w:val="00547A22"/>
    <w:rsid w:val="00547EF8"/>
    <w:rsid w:val="00550A3C"/>
    <w:rsid w:val="00551816"/>
    <w:rsid w:val="00560659"/>
    <w:rsid w:val="00575B69"/>
    <w:rsid w:val="00583E46"/>
    <w:rsid w:val="00585982"/>
    <w:rsid w:val="00585FA3"/>
    <w:rsid w:val="00587697"/>
    <w:rsid w:val="00591AB0"/>
    <w:rsid w:val="00592747"/>
    <w:rsid w:val="00596F73"/>
    <w:rsid w:val="005A1922"/>
    <w:rsid w:val="005A46FE"/>
    <w:rsid w:val="005A5BC1"/>
    <w:rsid w:val="005A7CBC"/>
    <w:rsid w:val="005B666B"/>
    <w:rsid w:val="005D19AF"/>
    <w:rsid w:val="005D2D5C"/>
    <w:rsid w:val="005E1996"/>
    <w:rsid w:val="005E520C"/>
    <w:rsid w:val="005E73EE"/>
    <w:rsid w:val="005E7918"/>
    <w:rsid w:val="005F3CAA"/>
    <w:rsid w:val="005F4258"/>
    <w:rsid w:val="0061020B"/>
    <w:rsid w:val="006118AD"/>
    <w:rsid w:val="006124A6"/>
    <w:rsid w:val="00623C05"/>
    <w:rsid w:val="00623FF0"/>
    <w:rsid w:val="00625392"/>
    <w:rsid w:val="0063010D"/>
    <w:rsid w:val="006372D9"/>
    <w:rsid w:val="00640255"/>
    <w:rsid w:val="00646B21"/>
    <w:rsid w:val="00653DAE"/>
    <w:rsid w:val="00653EF6"/>
    <w:rsid w:val="00660219"/>
    <w:rsid w:val="00670BE2"/>
    <w:rsid w:val="0067296D"/>
    <w:rsid w:val="006774CA"/>
    <w:rsid w:val="00685AD3"/>
    <w:rsid w:val="00694F84"/>
    <w:rsid w:val="006A3DF4"/>
    <w:rsid w:val="006B01C6"/>
    <w:rsid w:val="006B1AAE"/>
    <w:rsid w:val="006B30B5"/>
    <w:rsid w:val="006B75A3"/>
    <w:rsid w:val="006B75EE"/>
    <w:rsid w:val="006C06B3"/>
    <w:rsid w:val="006C08DB"/>
    <w:rsid w:val="006C3223"/>
    <w:rsid w:val="006C3EC2"/>
    <w:rsid w:val="006D2A8D"/>
    <w:rsid w:val="006D2B61"/>
    <w:rsid w:val="006D381A"/>
    <w:rsid w:val="006D50F3"/>
    <w:rsid w:val="006E15D4"/>
    <w:rsid w:val="006E2E71"/>
    <w:rsid w:val="006E489E"/>
    <w:rsid w:val="0070390C"/>
    <w:rsid w:val="007046C5"/>
    <w:rsid w:val="0071249B"/>
    <w:rsid w:val="0071543F"/>
    <w:rsid w:val="00716D4E"/>
    <w:rsid w:val="0071731C"/>
    <w:rsid w:val="00721BE3"/>
    <w:rsid w:val="0072459E"/>
    <w:rsid w:val="007276AC"/>
    <w:rsid w:val="00727C11"/>
    <w:rsid w:val="007301EA"/>
    <w:rsid w:val="00733FBE"/>
    <w:rsid w:val="00734424"/>
    <w:rsid w:val="007370D3"/>
    <w:rsid w:val="00737BB8"/>
    <w:rsid w:val="00742280"/>
    <w:rsid w:val="0074462C"/>
    <w:rsid w:val="00746275"/>
    <w:rsid w:val="0074787D"/>
    <w:rsid w:val="007514BA"/>
    <w:rsid w:val="00757C9E"/>
    <w:rsid w:val="0076458B"/>
    <w:rsid w:val="007652F4"/>
    <w:rsid w:val="00765E9A"/>
    <w:rsid w:val="00773CF7"/>
    <w:rsid w:val="007A1878"/>
    <w:rsid w:val="007A31BD"/>
    <w:rsid w:val="007A57C9"/>
    <w:rsid w:val="007A72F9"/>
    <w:rsid w:val="007B269A"/>
    <w:rsid w:val="007B47BA"/>
    <w:rsid w:val="007C19A5"/>
    <w:rsid w:val="007C23DB"/>
    <w:rsid w:val="007C3247"/>
    <w:rsid w:val="007C6762"/>
    <w:rsid w:val="007E108A"/>
    <w:rsid w:val="007F25C6"/>
    <w:rsid w:val="007F36C4"/>
    <w:rsid w:val="007F5430"/>
    <w:rsid w:val="00803F79"/>
    <w:rsid w:val="008068F6"/>
    <w:rsid w:val="00806E47"/>
    <w:rsid w:val="008113C3"/>
    <w:rsid w:val="00821A66"/>
    <w:rsid w:val="008309A6"/>
    <w:rsid w:val="0083779F"/>
    <w:rsid w:val="00841EFE"/>
    <w:rsid w:val="008443E5"/>
    <w:rsid w:val="00851173"/>
    <w:rsid w:val="00860D53"/>
    <w:rsid w:val="0086652C"/>
    <w:rsid w:val="00867949"/>
    <w:rsid w:val="00867D5D"/>
    <w:rsid w:val="0087593D"/>
    <w:rsid w:val="008808C6"/>
    <w:rsid w:val="00885FB1"/>
    <w:rsid w:val="00887A15"/>
    <w:rsid w:val="00893333"/>
    <w:rsid w:val="008A26DF"/>
    <w:rsid w:val="008A3849"/>
    <w:rsid w:val="008B0699"/>
    <w:rsid w:val="008B1F62"/>
    <w:rsid w:val="008D2AA4"/>
    <w:rsid w:val="008D4CD7"/>
    <w:rsid w:val="008E07FE"/>
    <w:rsid w:val="008E1DF3"/>
    <w:rsid w:val="008E2E12"/>
    <w:rsid w:val="008E6448"/>
    <w:rsid w:val="008E7E60"/>
    <w:rsid w:val="00914A79"/>
    <w:rsid w:val="00914D25"/>
    <w:rsid w:val="00916BE0"/>
    <w:rsid w:val="00921E80"/>
    <w:rsid w:val="00924670"/>
    <w:rsid w:val="009275CA"/>
    <w:rsid w:val="00936457"/>
    <w:rsid w:val="00951B5F"/>
    <w:rsid w:val="00965576"/>
    <w:rsid w:val="009660BE"/>
    <w:rsid w:val="00967728"/>
    <w:rsid w:val="00977AE0"/>
    <w:rsid w:val="009819AC"/>
    <w:rsid w:val="00985ED5"/>
    <w:rsid w:val="009A113F"/>
    <w:rsid w:val="009A74D1"/>
    <w:rsid w:val="009B0D4E"/>
    <w:rsid w:val="009B4A1F"/>
    <w:rsid w:val="009B638F"/>
    <w:rsid w:val="009B74A3"/>
    <w:rsid w:val="009C02BC"/>
    <w:rsid w:val="009C1E34"/>
    <w:rsid w:val="009D0470"/>
    <w:rsid w:val="009D48A9"/>
    <w:rsid w:val="009D4C46"/>
    <w:rsid w:val="009E1567"/>
    <w:rsid w:val="009E2C04"/>
    <w:rsid w:val="009E750F"/>
    <w:rsid w:val="009F3D2E"/>
    <w:rsid w:val="009F4236"/>
    <w:rsid w:val="009F5088"/>
    <w:rsid w:val="009F51BF"/>
    <w:rsid w:val="009F64CB"/>
    <w:rsid w:val="009F6E61"/>
    <w:rsid w:val="00A0019B"/>
    <w:rsid w:val="00A1265C"/>
    <w:rsid w:val="00A13966"/>
    <w:rsid w:val="00A146B6"/>
    <w:rsid w:val="00A14D8D"/>
    <w:rsid w:val="00A173A1"/>
    <w:rsid w:val="00A21062"/>
    <w:rsid w:val="00A21EC9"/>
    <w:rsid w:val="00A236E1"/>
    <w:rsid w:val="00A24D18"/>
    <w:rsid w:val="00A31FBA"/>
    <w:rsid w:val="00A33C49"/>
    <w:rsid w:val="00A345B0"/>
    <w:rsid w:val="00A37FC2"/>
    <w:rsid w:val="00A429B7"/>
    <w:rsid w:val="00A51D16"/>
    <w:rsid w:val="00A520CF"/>
    <w:rsid w:val="00A61D81"/>
    <w:rsid w:val="00A821CC"/>
    <w:rsid w:val="00A84562"/>
    <w:rsid w:val="00A8677F"/>
    <w:rsid w:val="00A86B0A"/>
    <w:rsid w:val="00A870FD"/>
    <w:rsid w:val="00A87C15"/>
    <w:rsid w:val="00AA1975"/>
    <w:rsid w:val="00AA1B84"/>
    <w:rsid w:val="00AA4CA5"/>
    <w:rsid w:val="00AB6455"/>
    <w:rsid w:val="00AB7C5C"/>
    <w:rsid w:val="00AC498A"/>
    <w:rsid w:val="00AC658D"/>
    <w:rsid w:val="00AD48ED"/>
    <w:rsid w:val="00AE208E"/>
    <w:rsid w:val="00AE3BAE"/>
    <w:rsid w:val="00B01724"/>
    <w:rsid w:val="00B1273F"/>
    <w:rsid w:val="00B201B6"/>
    <w:rsid w:val="00B20B33"/>
    <w:rsid w:val="00B4237E"/>
    <w:rsid w:val="00B5584D"/>
    <w:rsid w:val="00B613B7"/>
    <w:rsid w:val="00B6376D"/>
    <w:rsid w:val="00B913DF"/>
    <w:rsid w:val="00B9144B"/>
    <w:rsid w:val="00B968CC"/>
    <w:rsid w:val="00BA1F2A"/>
    <w:rsid w:val="00BB483B"/>
    <w:rsid w:val="00BB4D75"/>
    <w:rsid w:val="00BB4DF5"/>
    <w:rsid w:val="00BD0282"/>
    <w:rsid w:val="00BD64C7"/>
    <w:rsid w:val="00BE296B"/>
    <w:rsid w:val="00BE2DCC"/>
    <w:rsid w:val="00BE3EEC"/>
    <w:rsid w:val="00BE6E30"/>
    <w:rsid w:val="00BF2383"/>
    <w:rsid w:val="00BF4BA6"/>
    <w:rsid w:val="00BF4E58"/>
    <w:rsid w:val="00BF4EC6"/>
    <w:rsid w:val="00BF58B5"/>
    <w:rsid w:val="00C15242"/>
    <w:rsid w:val="00C15F4E"/>
    <w:rsid w:val="00C220D5"/>
    <w:rsid w:val="00C3171E"/>
    <w:rsid w:val="00C46AEA"/>
    <w:rsid w:val="00C50CA1"/>
    <w:rsid w:val="00C53BAA"/>
    <w:rsid w:val="00C54067"/>
    <w:rsid w:val="00C540A6"/>
    <w:rsid w:val="00C62767"/>
    <w:rsid w:val="00C66BB7"/>
    <w:rsid w:val="00C704C8"/>
    <w:rsid w:val="00C83DBD"/>
    <w:rsid w:val="00C84C8F"/>
    <w:rsid w:val="00C86348"/>
    <w:rsid w:val="00C92D3D"/>
    <w:rsid w:val="00C97DD6"/>
    <w:rsid w:val="00C97E42"/>
    <w:rsid w:val="00CA321E"/>
    <w:rsid w:val="00CA58F0"/>
    <w:rsid w:val="00CB1E12"/>
    <w:rsid w:val="00CB3409"/>
    <w:rsid w:val="00CB54B9"/>
    <w:rsid w:val="00CC0EF6"/>
    <w:rsid w:val="00CC395B"/>
    <w:rsid w:val="00CC4B7E"/>
    <w:rsid w:val="00CD1A44"/>
    <w:rsid w:val="00CD4BAA"/>
    <w:rsid w:val="00CF4508"/>
    <w:rsid w:val="00D00852"/>
    <w:rsid w:val="00D008E6"/>
    <w:rsid w:val="00D00948"/>
    <w:rsid w:val="00D05598"/>
    <w:rsid w:val="00D17C7F"/>
    <w:rsid w:val="00D20C75"/>
    <w:rsid w:val="00D20FB9"/>
    <w:rsid w:val="00D266BA"/>
    <w:rsid w:val="00D27E66"/>
    <w:rsid w:val="00D33D11"/>
    <w:rsid w:val="00D54FE7"/>
    <w:rsid w:val="00D56722"/>
    <w:rsid w:val="00D60012"/>
    <w:rsid w:val="00D63DA7"/>
    <w:rsid w:val="00D64A9A"/>
    <w:rsid w:val="00D64D38"/>
    <w:rsid w:val="00D67B89"/>
    <w:rsid w:val="00D7519B"/>
    <w:rsid w:val="00D75FE1"/>
    <w:rsid w:val="00D84B53"/>
    <w:rsid w:val="00D933EF"/>
    <w:rsid w:val="00D94B9C"/>
    <w:rsid w:val="00DA60BA"/>
    <w:rsid w:val="00DA674C"/>
    <w:rsid w:val="00DB6D63"/>
    <w:rsid w:val="00DC0B81"/>
    <w:rsid w:val="00DC191C"/>
    <w:rsid w:val="00DC2EB4"/>
    <w:rsid w:val="00DD4352"/>
    <w:rsid w:val="00DD53D5"/>
    <w:rsid w:val="00DD7D52"/>
    <w:rsid w:val="00DE04A4"/>
    <w:rsid w:val="00DF22FA"/>
    <w:rsid w:val="00E01E8F"/>
    <w:rsid w:val="00E04679"/>
    <w:rsid w:val="00E1175C"/>
    <w:rsid w:val="00E1679C"/>
    <w:rsid w:val="00E23838"/>
    <w:rsid w:val="00E26D2B"/>
    <w:rsid w:val="00E326B0"/>
    <w:rsid w:val="00E42621"/>
    <w:rsid w:val="00E439C1"/>
    <w:rsid w:val="00E45347"/>
    <w:rsid w:val="00E45AE5"/>
    <w:rsid w:val="00E50FEE"/>
    <w:rsid w:val="00E55EFF"/>
    <w:rsid w:val="00E61DCE"/>
    <w:rsid w:val="00E64D23"/>
    <w:rsid w:val="00E65A3E"/>
    <w:rsid w:val="00E664EB"/>
    <w:rsid w:val="00E67F7C"/>
    <w:rsid w:val="00E706DB"/>
    <w:rsid w:val="00E72BF3"/>
    <w:rsid w:val="00E970D1"/>
    <w:rsid w:val="00E976EB"/>
    <w:rsid w:val="00E97E10"/>
    <w:rsid w:val="00EA1E8C"/>
    <w:rsid w:val="00EA4501"/>
    <w:rsid w:val="00EA5E14"/>
    <w:rsid w:val="00EB0A6C"/>
    <w:rsid w:val="00EB1361"/>
    <w:rsid w:val="00ED64D2"/>
    <w:rsid w:val="00EF39BE"/>
    <w:rsid w:val="00EF7A50"/>
    <w:rsid w:val="00F0200C"/>
    <w:rsid w:val="00F10552"/>
    <w:rsid w:val="00F12512"/>
    <w:rsid w:val="00F16FC3"/>
    <w:rsid w:val="00F22995"/>
    <w:rsid w:val="00F278AB"/>
    <w:rsid w:val="00F34EDE"/>
    <w:rsid w:val="00F41C73"/>
    <w:rsid w:val="00F476E5"/>
    <w:rsid w:val="00F53B97"/>
    <w:rsid w:val="00F548A1"/>
    <w:rsid w:val="00F55B11"/>
    <w:rsid w:val="00F55CD2"/>
    <w:rsid w:val="00F61C07"/>
    <w:rsid w:val="00F659C5"/>
    <w:rsid w:val="00F662F9"/>
    <w:rsid w:val="00F67C17"/>
    <w:rsid w:val="00F76643"/>
    <w:rsid w:val="00F76A66"/>
    <w:rsid w:val="00F81E45"/>
    <w:rsid w:val="00F853B9"/>
    <w:rsid w:val="00F873DD"/>
    <w:rsid w:val="00F97134"/>
    <w:rsid w:val="00FA4954"/>
    <w:rsid w:val="00FB2FDC"/>
    <w:rsid w:val="00FB6EA5"/>
    <w:rsid w:val="00FC17B4"/>
    <w:rsid w:val="00FC1CAE"/>
    <w:rsid w:val="00FC65D6"/>
    <w:rsid w:val="00FE1C9E"/>
    <w:rsid w:val="00FE3584"/>
    <w:rsid w:val="00FE3717"/>
    <w:rsid w:val="00FE5143"/>
    <w:rsid w:val="00FE585A"/>
    <w:rsid w:val="00FE5F30"/>
    <w:rsid w:val="00FE765B"/>
    <w:rsid w:val="00FF236C"/>
    <w:rsid w:val="00FF33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52FD1"/>
  <w15:docId w15:val="{549D5019-22EE-7241-9EA2-704971EEC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3EC2"/>
    <w:pPr>
      <w:jc w:val="both"/>
    </w:pPr>
    <w:rPr>
      <w:rFonts w:ascii="Arial" w:hAnsi="Arial"/>
      <w:color w:val="292574" w:themeColor="accent2"/>
    </w:rPr>
  </w:style>
  <w:style w:type="paragraph" w:styleId="Titre1">
    <w:name w:val="heading 1"/>
    <w:basedOn w:val="Normal"/>
    <w:next w:val="Normal"/>
    <w:link w:val="Titre1Car"/>
    <w:qFormat/>
    <w:pPr>
      <w:keepNext/>
      <w:keepLines/>
      <w:numPr>
        <w:numId w:val="1"/>
      </w:numPr>
      <w:spacing w:before="200" w:after="200"/>
      <w:outlineLvl w:val="0"/>
    </w:pPr>
    <w:rPr>
      <w:rFonts w:eastAsiaTheme="majorEastAsia" w:cstheme="majorBidi"/>
      <w:b/>
      <w:caps/>
      <w:sz w:val="38"/>
      <w:szCs w:val="32"/>
    </w:rPr>
  </w:style>
  <w:style w:type="paragraph" w:styleId="Titre2">
    <w:name w:val="heading 2"/>
    <w:basedOn w:val="Normal"/>
    <w:next w:val="Normal"/>
    <w:link w:val="Titre2Car"/>
    <w:unhideWhenUsed/>
    <w:qFormat/>
    <w:pPr>
      <w:keepNext/>
      <w:keepLines/>
      <w:numPr>
        <w:ilvl w:val="1"/>
        <w:numId w:val="1"/>
      </w:numPr>
      <w:spacing w:before="200" w:after="200"/>
      <w:ind w:left="576"/>
      <w:outlineLvl w:val="1"/>
    </w:pPr>
    <w:rPr>
      <w:rFonts w:eastAsiaTheme="majorEastAsia" w:cstheme="majorBidi"/>
      <w:b/>
      <w:sz w:val="32"/>
      <w:szCs w:val="26"/>
    </w:rPr>
  </w:style>
  <w:style w:type="paragraph" w:styleId="Titre3">
    <w:name w:val="heading 3"/>
    <w:basedOn w:val="Normal"/>
    <w:next w:val="Normal"/>
    <w:link w:val="Titre3Car"/>
    <w:unhideWhenUsed/>
    <w:qFormat/>
    <w:pPr>
      <w:keepNext/>
      <w:keepLines/>
      <w:numPr>
        <w:ilvl w:val="2"/>
        <w:numId w:val="1"/>
      </w:numPr>
      <w:spacing w:before="80" w:after="80"/>
      <w:outlineLvl w:val="2"/>
    </w:pPr>
    <w:rPr>
      <w:rFonts w:eastAsiaTheme="majorEastAsia" w:cstheme="majorBidi"/>
      <w:b/>
      <w:sz w:val="24"/>
      <w:szCs w:val="24"/>
    </w:rPr>
  </w:style>
  <w:style w:type="paragraph" w:styleId="Titre4">
    <w:name w:val="heading 4"/>
    <w:basedOn w:val="Normal"/>
    <w:next w:val="Normal"/>
    <w:link w:val="Titre4Car"/>
    <w:unhideWhenUsed/>
    <w:qFormat/>
    <w:pPr>
      <w:keepNext/>
      <w:keepLines/>
      <w:numPr>
        <w:ilvl w:val="3"/>
        <w:numId w:val="1"/>
      </w:numPr>
      <w:spacing w:before="40"/>
      <w:outlineLvl w:val="3"/>
    </w:pPr>
    <w:rPr>
      <w:rFonts w:asciiTheme="majorHAnsi" w:eastAsiaTheme="majorEastAsia" w:hAnsiTheme="majorHAnsi" w:cstheme="majorBidi"/>
      <w:i/>
      <w:iCs/>
      <w:color w:val="DE3F15" w:themeColor="accent1" w:themeShade="BF"/>
    </w:rPr>
  </w:style>
  <w:style w:type="paragraph" w:styleId="Titre5">
    <w:name w:val="heading 5"/>
    <w:basedOn w:val="Normal"/>
    <w:next w:val="Normal"/>
    <w:link w:val="Titre5Car"/>
    <w:unhideWhenUsed/>
    <w:qFormat/>
    <w:pPr>
      <w:keepNext/>
      <w:keepLines/>
      <w:numPr>
        <w:ilvl w:val="4"/>
        <w:numId w:val="1"/>
      </w:numPr>
      <w:spacing w:before="40"/>
      <w:outlineLvl w:val="4"/>
    </w:pPr>
    <w:rPr>
      <w:rFonts w:asciiTheme="majorHAnsi" w:eastAsiaTheme="majorEastAsia" w:hAnsiTheme="majorHAnsi" w:cstheme="majorBidi"/>
      <w:color w:val="DE3F15" w:themeColor="accent1" w:themeShade="BF"/>
    </w:rPr>
  </w:style>
  <w:style w:type="paragraph" w:styleId="Titre6">
    <w:name w:val="heading 6"/>
    <w:basedOn w:val="Normal"/>
    <w:next w:val="Normal"/>
    <w:link w:val="Titre6Car"/>
    <w:unhideWhenUsed/>
    <w:qFormat/>
    <w:pPr>
      <w:keepNext/>
      <w:keepLines/>
      <w:numPr>
        <w:ilvl w:val="5"/>
        <w:numId w:val="1"/>
      </w:numPr>
      <w:spacing w:before="40"/>
      <w:outlineLvl w:val="5"/>
    </w:pPr>
    <w:rPr>
      <w:rFonts w:asciiTheme="majorHAnsi" w:eastAsiaTheme="majorEastAsia" w:hAnsiTheme="majorHAnsi" w:cstheme="majorBidi"/>
      <w:color w:val="942A0E" w:themeColor="accent1" w:themeShade="7F"/>
    </w:rPr>
  </w:style>
  <w:style w:type="paragraph" w:styleId="Titre7">
    <w:name w:val="heading 7"/>
    <w:basedOn w:val="Normal"/>
    <w:next w:val="Normal"/>
    <w:link w:val="Titre7Car"/>
    <w:unhideWhenUsed/>
    <w:qFormat/>
    <w:pPr>
      <w:keepNext/>
      <w:keepLines/>
      <w:numPr>
        <w:ilvl w:val="6"/>
        <w:numId w:val="1"/>
      </w:numPr>
      <w:spacing w:before="40"/>
      <w:outlineLvl w:val="6"/>
    </w:pPr>
    <w:rPr>
      <w:rFonts w:asciiTheme="majorHAnsi" w:eastAsiaTheme="majorEastAsia" w:hAnsiTheme="majorHAnsi" w:cstheme="majorBidi"/>
      <w:i/>
      <w:iCs/>
      <w:color w:val="942A0E" w:themeColor="accent1" w:themeShade="7F"/>
    </w:rPr>
  </w:style>
  <w:style w:type="paragraph" w:styleId="Titre8">
    <w:name w:val="heading 8"/>
    <w:basedOn w:val="Normal"/>
    <w:next w:val="Normal"/>
    <w:link w:val="Titre8Car"/>
    <w:unhideWhenUsed/>
    <w:qFormat/>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nhideWhenUsed/>
    <w:qFormat/>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Heading1Char">
    <w:name w:val="Heading 1 Char"/>
    <w:basedOn w:val="Policepardfaut"/>
    <w:uiPriority w:val="9"/>
    <w:rPr>
      <w:rFonts w:ascii="Arial" w:eastAsia="Arial" w:hAnsi="Arial" w:cs="Arial"/>
      <w:sz w:val="40"/>
      <w:szCs w:val="40"/>
    </w:rPr>
  </w:style>
  <w:style w:type="character" w:customStyle="1" w:styleId="Heading2Char">
    <w:name w:val="Heading 2 Char"/>
    <w:basedOn w:val="Policepardfaut"/>
    <w:uiPriority w:val="9"/>
    <w:rPr>
      <w:rFonts w:ascii="Arial" w:eastAsia="Arial" w:hAnsi="Arial" w:cs="Arial"/>
      <w:sz w:val="34"/>
    </w:rPr>
  </w:style>
  <w:style w:type="character" w:customStyle="1" w:styleId="Heading3Char">
    <w:name w:val="Heading 3 Char"/>
    <w:basedOn w:val="Policepardfaut"/>
    <w:uiPriority w:val="9"/>
    <w:rPr>
      <w:rFonts w:ascii="Arial" w:eastAsia="Arial" w:hAnsi="Arial" w:cs="Arial"/>
      <w:sz w:val="30"/>
      <w:szCs w:val="30"/>
    </w:rPr>
  </w:style>
  <w:style w:type="character" w:customStyle="1" w:styleId="Heading4Char">
    <w:name w:val="Heading 4 Char"/>
    <w:basedOn w:val="Policepardfaut"/>
    <w:uiPriority w:val="9"/>
    <w:rPr>
      <w:rFonts w:ascii="Arial" w:eastAsia="Arial" w:hAnsi="Arial" w:cs="Arial"/>
      <w:b/>
      <w:bCs/>
      <w:sz w:val="26"/>
      <w:szCs w:val="26"/>
    </w:rPr>
  </w:style>
  <w:style w:type="character" w:customStyle="1" w:styleId="Heading5Char">
    <w:name w:val="Heading 5 Char"/>
    <w:basedOn w:val="Policepardfaut"/>
    <w:uiPriority w:val="9"/>
    <w:rPr>
      <w:rFonts w:ascii="Arial" w:eastAsia="Arial" w:hAnsi="Arial" w:cs="Arial"/>
      <w:b/>
      <w:bCs/>
      <w:sz w:val="24"/>
      <w:szCs w:val="24"/>
    </w:rPr>
  </w:style>
  <w:style w:type="character" w:customStyle="1" w:styleId="Heading6Char">
    <w:name w:val="Heading 6 Char"/>
    <w:basedOn w:val="Policepardfaut"/>
    <w:uiPriority w:val="9"/>
    <w:rPr>
      <w:rFonts w:ascii="Arial" w:eastAsia="Arial" w:hAnsi="Arial" w:cs="Arial"/>
      <w:b/>
      <w:bCs/>
      <w:sz w:val="22"/>
      <w:szCs w:val="22"/>
    </w:rPr>
  </w:style>
  <w:style w:type="character" w:customStyle="1" w:styleId="Heading7Char">
    <w:name w:val="Heading 7 Char"/>
    <w:basedOn w:val="Policepardfaut"/>
    <w:uiPriority w:val="9"/>
    <w:rPr>
      <w:rFonts w:ascii="Arial" w:eastAsia="Arial" w:hAnsi="Arial" w:cs="Arial"/>
      <w:b/>
      <w:bCs/>
      <w:i/>
      <w:iCs/>
      <w:sz w:val="22"/>
      <w:szCs w:val="22"/>
    </w:rPr>
  </w:style>
  <w:style w:type="character" w:customStyle="1" w:styleId="Heading8Char">
    <w:name w:val="Heading 8 Char"/>
    <w:basedOn w:val="Policepardfaut"/>
    <w:uiPriority w:val="9"/>
    <w:rPr>
      <w:rFonts w:ascii="Arial" w:eastAsia="Arial" w:hAnsi="Arial" w:cs="Arial"/>
      <w:i/>
      <w:iCs/>
      <w:sz w:val="22"/>
      <w:szCs w:val="22"/>
    </w:rPr>
  </w:style>
  <w:style w:type="character" w:customStyle="1" w:styleId="Heading9Char">
    <w:name w:val="Heading 9 Char"/>
    <w:basedOn w:val="Policepardfaut"/>
    <w:uiPriority w:val="9"/>
    <w:rPr>
      <w:rFonts w:ascii="Arial" w:eastAsia="Arial" w:hAnsi="Arial" w:cs="Arial"/>
      <w:i/>
      <w:iCs/>
      <w:sz w:val="21"/>
      <w:szCs w:val="21"/>
    </w:rPr>
  </w:style>
  <w:style w:type="paragraph" w:styleId="Paragraphedeliste">
    <w:name w:val="List Paragraph"/>
    <w:basedOn w:val="Normal"/>
    <w:qFormat/>
    <w:pPr>
      <w:ind w:left="720"/>
      <w:contextualSpacing/>
    </w:pPr>
  </w:style>
  <w:style w:type="paragraph" w:styleId="Sansinterligne">
    <w:name w:val="No Spacing"/>
    <w:uiPriority w:val="1"/>
    <w:qFormat/>
  </w:style>
  <w:style w:type="character" w:customStyle="1" w:styleId="TitleChar">
    <w:name w:val="Title Char"/>
    <w:basedOn w:val="Policepardfaut"/>
    <w:uiPriority w:val="10"/>
    <w:rPr>
      <w:sz w:val="48"/>
      <w:szCs w:val="48"/>
    </w:rPr>
  </w:style>
  <w:style w:type="character" w:customStyle="1" w:styleId="SubtitleChar">
    <w:name w:val="Subtitle Char"/>
    <w:basedOn w:val="Policepardfaut"/>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tionintenseCar">
    <w:name w:val="Citation intense Car"/>
    <w:link w:val="Citationintense"/>
    <w:uiPriority w:val="30"/>
    <w:rPr>
      <w:i/>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character" w:customStyle="1" w:styleId="CaptionChar">
    <w:name w:val="Caption Char"/>
    <w:uiPriority w:val="99"/>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F8C7BB" w:themeColor="accent1" w:themeTint="67"/>
        <w:left w:val="single" w:sz="4" w:space="0" w:color="F8C7BB" w:themeColor="accent1" w:themeTint="67"/>
        <w:bottom w:val="single" w:sz="4" w:space="0" w:color="F8C7BB" w:themeColor="accent1" w:themeTint="67"/>
        <w:right w:val="single" w:sz="4" w:space="0" w:color="F8C7BB" w:themeColor="accent1" w:themeTint="67"/>
        <w:insideH w:val="single" w:sz="4" w:space="0" w:color="F8C7BB" w:themeColor="accent1" w:themeTint="67"/>
        <w:insideV w:val="single" w:sz="4" w:space="0" w:color="F8C7BB" w:themeColor="accent1" w:themeTint="67"/>
      </w:tblBorders>
    </w:tblPr>
    <w:tblStylePr w:type="firstRow">
      <w:rPr>
        <w:b/>
        <w:color w:val="404040"/>
      </w:rPr>
      <w:tblPr/>
      <w:tcPr>
        <w:tcBorders>
          <w:bottom w:val="single" w:sz="12" w:space="0" w:color="F5AF9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8C7BB" w:themeColor="accent1" w:themeTint="67"/>
          <w:left w:val="single" w:sz="4" w:space="0" w:color="F8C7BB" w:themeColor="accent1" w:themeTint="67"/>
          <w:bottom w:val="single" w:sz="4" w:space="0" w:color="F8C7BB" w:themeColor="accent1" w:themeTint="67"/>
          <w:right w:val="single" w:sz="4" w:space="0" w:color="F8C7BB"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9591DC" w:themeColor="accent2" w:themeTint="67"/>
        <w:left w:val="single" w:sz="4" w:space="0" w:color="9591DC" w:themeColor="accent2" w:themeTint="67"/>
        <w:bottom w:val="single" w:sz="4" w:space="0" w:color="9591DC" w:themeColor="accent2" w:themeTint="67"/>
        <w:right w:val="single" w:sz="4" w:space="0" w:color="9591DC" w:themeColor="accent2" w:themeTint="67"/>
        <w:insideH w:val="single" w:sz="4" w:space="0" w:color="9591DC" w:themeColor="accent2" w:themeTint="67"/>
        <w:insideV w:val="single" w:sz="4" w:space="0" w:color="9591DC" w:themeColor="accent2" w:themeTint="67"/>
      </w:tblBorders>
    </w:tblPr>
    <w:tblStylePr w:type="firstRow">
      <w:rPr>
        <w:b/>
        <w:color w:val="404040"/>
      </w:rPr>
      <w:tblPr/>
      <w:tcPr>
        <w:tcBorders>
          <w:bottom w:val="single" w:sz="12" w:space="0" w:color="6560CC"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591DC" w:themeColor="accent2" w:themeTint="67"/>
          <w:left w:val="single" w:sz="4" w:space="0" w:color="9591DC" w:themeColor="accent2" w:themeTint="67"/>
          <w:bottom w:val="single" w:sz="4" w:space="0" w:color="9591DC" w:themeColor="accent2" w:themeTint="67"/>
          <w:right w:val="single" w:sz="4" w:space="0" w:color="9591DC"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EEAB7" w:themeColor="accent3" w:themeTint="67"/>
        <w:left w:val="single" w:sz="4" w:space="0" w:color="DEEAB7" w:themeColor="accent3" w:themeTint="67"/>
        <w:bottom w:val="single" w:sz="4" w:space="0" w:color="DEEAB7" w:themeColor="accent3" w:themeTint="67"/>
        <w:right w:val="single" w:sz="4" w:space="0" w:color="DEEAB7" w:themeColor="accent3" w:themeTint="67"/>
        <w:insideH w:val="single" w:sz="4" w:space="0" w:color="DEEAB7" w:themeColor="accent3" w:themeTint="67"/>
        <w:insideV w:val="single" w:sz="4" w:space="0" w:color="DEEAB7" w:themeColor="accent3" w:themeTint="67"/>
      </w:tblBorders>
    </w:tblPr>
    <w:tblStylePr w:type="firstRow">
      <w:rPr>
        <w:b/>
        <w:color w:val="404040"/>
      </w:rPr>
      <w:tblPr/>
      <w:tcPr>
        <w:tcBorders>
          <w:bottom w:val="single" w:sz="12" w:space="0" w:color="D0E197"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EEAB7" w:themeColor="accent3" w:themeTint="67"/>
          <w:left w:val="single" w:sz="4" w:space="0" w:color="DEEAB7" w:themeColor="accent3" w:themeTint="67"/>
          <w:bottom w:val="single" w:sz="4" w:space="0" w:color="DEEAB7" w:themeColor="accent3" w:themeTint="67"/>
          <w:right w:val="single" w:sz="4" w:space="0" w:color="DEEAB7"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FEF6CA" w:themeColor="accent4" w:themeTint="67"/>
        <w:left w:val="single" w:sz="4" w:space="0" w:color="FEF6CA" w:themeColor="accent4" w:themeTint="67"/>
        <w:bottom w:val="single" w:sz="4" w:space="0" w:color="FEF6CA" w:themeColor="accent4" w:themeTint="67"/>
        <w:right w:val="single" w:sz="4" w:space="0" w:color="FEF6CA" w:themeColor="accent4" w:themeTint="67"/>
        <w:insideH w:val="single" w:sz="4" w:space="0" w:color="FEF6CA" w:themeColor="accent4" w:themeTint="67"/>
        <w:insideV w:val="single" w:sz="4" w:space="0" w:color="FEF6CA" w:themeColor="accent4" w:themeTint="67"/>
      </w:tblBorders>
    </w:tblPr>
    <w:tblStylePr w:type="firstRow">
      <w:rPr>
        <w:b/>
        <w:color w:val="404040"/>
      </w:rPr>
      <w:tblPr/>
      <w:tcPr>
        <w:tcBorders>
          <w:bottom w:val="single" w:sz="12" w:space="0" w:color="FDF3B2"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EF6CA" w:themeColor="accent4" w:themeTint="67"/>
          <w:left w:val="single" w:sz="4" w:space="0" w:color="FEF6CA" w:themeColor="accent4" w:themeTint="67"/>
          <w:bottom w:val="single" w:sz="4" w:space="0" w:color="FEF6CA" w:themeColor="accent4" w:themeTint="67"/>
          <w:right w:val="single" w:sz="4" w:space="0" w:color="FEF6CA"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CAD4EB" w:themeColor="accent5" w:themeTint="67"/>
        <w:left w:val="single" w:sz="4" w:space="0" w:color="CAD4EB" w:themeColor="accent5" w:themeTint="67"/>
        <w:bottom w:val="single" w:sz="4" w:space="0" w:color="CAD4EB" w:themeColor="accent5" w:themeTint="67"/>
        <w:right w:val="single" w:sz="4" w:space="0" w:color="CAD4EB" w:themeColor="accent5" w:themeTint="67"/>
        <w:insideH w:val="single" w:sz="4" w:space="0" w:color="CAD4EB" w:themeColor="accent5" w:themeTint="67"/>
        <w:insideV w:val="single" w:sz="4" w:space="0" w:color="CAD4EB" w:themeColor="accent5" w:themeTint="67"/>
      </w:tblBorders>
    </w:tblPr>
    <w:tblStylePr w:type="firstRow">
      <w:rPr>
        <w:b/>
        <w:color w:val="404040"/>
      </w:rPr>
      <w:tblPr/>
      <w:tcPr>
        <w:tcBorders>
          <w:bottom w:val="single" w:sz="12" w:space="0" w:color="B3C1E2"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AD4EB" w:themeColor="accent5" w:themeTint="67"/>
          <w:left w:val="single" w:sz="4" w:space="0" w:color="CAD4EB" w:themeColor="accent5" w:themeTint="67"/>
          <w:bottom w:val="single" w:sz="4" w:space="0" w:color="CAD4EB" w:themeColor="accent5" w:themeTint="67"/>
          <w:right w:val="single" w:sz="4" w:space="0" w:color="CAD4EB"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BEE0C1" w:themeColor="accent6" w:themeTint="67"/>
        <w:left w:val="single" w:sz="4" w:space="0" w:color="BEE0C1" w:themeColor="accent6" w:themeTint="67"/>
        <w:bottom w:val="single" w:sz="4" w:space="0" w:color="BEE0C1" w:themeColor="accent6" w:themeTint="67"/>
        <w:right w:val="single" w:sz="4" w:space="0" w:color="BEE0C1" w:themeColor="accent6" w:themeTint="67"/>
        <w:insideH w:val="single" w:sz="4" w:space="0" w:color="BEE0C1" w:themeColor="accent6" w:themeTint="67"/>
        <w:insideV w:val="single" w:sz="4" w:space="0" w:color="BEE0C1" w:themeColor="accent6" w:themeTint="67"/>
      </w:tblBorders>
    </w:tblPr>
    <w:tblStylePr w:type="firstRow">
      <w:rPr>
        <w:b/>
        <w:color w:val="404040"/>
      </w:rPr>
      <w:tblPr/>
      <w:tcPr>
        <w:tcBorders>
          <w:bottom w:val="single" w:sz="12" w:space="0" w:color="A1D3A5"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EE0C1" w:themeColor="accent6" w:themeTint="67"/>
          <w:left w:val="single" w:sz="4" w:space="0" w:color="BEE0C1" w:themeColor="accent6" w:themeTint="67"/>
          <w:bottom w:val="single" w:sz="4" w:space="0" w:color="BEE0C1" w:themeColor="accent6" w:themeTint="67"/>
          <w:right w:val="single" w:sz="4" w:space="0" w:color="BEE0C1"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F08164" w:themeColor="accent1" w:themeTint="EA"/>
        <w:insideH w:val="single" w:sz="4" w:space="0" w:color="F08164" w:themeColor="accent1" w:themeTint="EA"/>
        <w:insideV w:val="single" w:sz="4" w:space="0" w:color="F08164" w:themeColor="accent1" w:themeTint="EA"/>
      </w:tblBorders>
    </w:tblPr>
    <w:tblStylePr w:type="firstRow">
      <w:rPr>
        <w:b/>
        <w:color w:val="404040"/>
      </w:rPr>
      <w:tblPr/>
      <w:tcPr>
        <w:tcBorders>
          <w:top w:val="none" w:sz="4" w:space="0" w:color="000000"/>
          <w:left w:val="none" w:sz="4" w:space="0" w:color="000000"/>
          <w:bottom w:val="single" w:sz="12" w:space="0" w:color="F08164" w:themeColor="accent1" w:themeTint="EA"/>
          <w:right w:val="none" w:sz="4" w:space="0" w:color="000000"/>
        </w:tcBorders>
        <w:shd w:val="clear" w:color="FFFFFF" w:fill="auto"/>
      </w:tcPr>
    </w:tblStylePr>
    <w:tblStylePr w:type="lastRow">
      <w:rPr>
        <w:b/>
        <w:color w:val="404040"/>
      </w:rPr>
      <w:tblPr/>
      <w:tcPr>
        <w:tcBorders>
          <w:top w:val="single" w:sz="4" w:space="0" w:color="F08164"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3DC" w:themeColor="accent1" w:themeTint="34" w:fill="FBE3DC" w:themeFill="accent1" w:themeFillTint="34"/>
      </w:tcPr>
    </w:tblStylePr>
    <w:tblStylePr w:type="band1Horz">
      <w:rPr>
        <w:rFonts w:ascii="Arial" w:hAnsi="Arial"/>
        <w:color w:val="404040"/>
        <w:sz w:val="22"/>
      </w:rPr>
      <w:tblPr/>
      <w:tcPr>
        <w:shd w:val="clear" w:color="FBE3DC" w:themeColor="accent1" w:themeTint="34" w:fill="FBE3DC"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635ECB" w:themeColor="accent2" w:themeTint="97"/>
        <w:insideH w:val="single" w:sz="4" w:space="0" w:color="635ECB" w:themeColor="accent2" w:themeTint="97"/>
        <w:insideV w:val="single" w:sz="4" w:space="0" w:color="635ECB" w:themeColor="accent2" w:themeTint="97"/>
      </w:tblBorders>
    </w:tblPr>
    <w:tblStylePr w:type="firstRow">
      <w:rPr>
        <w:b/>
        <w:color w:val="404040"/>
      </w:rPr>
      <w:tblPr/>
      <w:tcPr>
        <w:tcBorders>
          <w:top w:val="none" w:sz="4" w:space="0" w:color="000000"/>
          <w:left w:val="none" w:sz="4" w:space="0" w:color="000000"/>
          <w:bottom w:val="single" w:sz="12" w:space="0" w:color="635ECB" w:themeColor="accent2" w:themeTint="97"/>
          <w:right w:val="none" w:sz="4" w:space="0" w:color="000000"/>
        </w:tcBorders>
        <w:shd w:val="clear" w:color="FFFFFF" w:fill="auto"/>
      </w:tcPr>
    </w:tblStylePr>
    <w:tblStylePr w:type="lastRow">
      <w:rPr>
        <w:b/>
        <w:color w:val="404040"/>
      </w:rPr>
      <w:tblPr/>
      <w:tcPr>
        <w:tcBorders>
          <w:top w:val="single" w:sz="4" w:space="0" w:color="635ECB"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9EE" w:themeColor="accent2" w:themeTint="32" w:fill="CBC9EE" w:themeFill="accent2" w:themeFillTint="32"/>
      </w:tcPr>
    </w:tblStylePr>
    <w:tblStylePr w:type="band1Horz">
      <w:rPr>
        <w:rFonts w:ascii="Arial" w:hAnsi="Arial"/>
        <w:color w:val="404040"/>
        <w:sz w:val="22"/>
      </w:rPr>
      <w:tblPr/>
      <w:tcPr>
        <w:shd w:val="clear" w:color="CBC9EE" w:themeColor="accent2" w:themeTint="32" w:fill="CBC9EE"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B0CC4E" w:themeColor="accent3" w:themeTint="FE"/>
        <w:insideH w:val="single" w:sz="4" w:space="0" w:color="B0CC4E" w:themeColor="accent3" w:themeTint="FE"/>
        <w:insideV w:val="single" w:sz="4" w:space="0" w:color="B0CC4E" w:themeColor="accent3" w:themeTint="FE"/>
      </w:tblBorders>
    </w:tblPr>
    <w:tblStylePr w:type="firstRow">
      <w:rPr>
        <w:b/>
        <w:color w:val="404040"/>
      </w:rPr>
      <w:tblPr/>
      <w:tcPr>
        <w:tcBorders>
          <w:top w:val="none" w:sz="4" w:space="0" w:color="000000"/>
          <w:left w:val="none" w:sz="4" w:space="0" w:color="000000"/>
          <w:bottom w:val="single" w:sz="12" w:space="0" w:color="B0CC4E" w:themeColor="accent3" w:themeTint="FE"/>
          <w:right w:val="none" w:sz="4" w:space="0" w:color="000000"/>
        </w:tcBorders>
        <w:shd w:val="clear" w:color="FFFFFF" w:fill="auto"/>
      </w:tcPr>
    </w:tblStylePr>
    <w:tblStylePr w:type="lastRow">
      <w:rPr>
        <w:b/>
        <w:color w:val="404040"/>
      </w:rPr>
      <w:tblPr/>
      <w:tcPr>
        <w:tcBorders>
          <w:top w:val="single" w:sz="4" w:space="0" w:color="B0CC4E"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F4DA" w:themeColor="accent3" w:themeTint="34" w:fill="EEF4DA" w:themeFill="accent3" w:themeFillTint="34"/>
      </w:tcPr>
    </w:tblStylePr>
    <w:tblStylePr w:type="band1Horz">
      <w:rPr>
        <w:rFonts w:ascii="Arial" w:hAnsi="Arial"/>
        <w:color w:val="404040"/>
        <w:sz w:val="22"/>
      </w:rPr>
      <w:tblPr/>
      <w:tcPr>
        <w:shd w:val="clear" w:color="EEF4DA" w:themeColor="accent3" w:themeTint="34" w:fill="EEF4DA"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FDF2B0" w:themeColor="accent4" w:themeTint="9A"/>
        <w:insideH w:val="single" w:sz="4" w:space="0" w:color="FDF2B0" w:themeColor="accent4" w:themeTint="9A"/>
        <w:insideV w:val="single" w:sz="4" w:space="0" w:color="FDF2B0" w:themeColor="accent4" w:themeTint="9A"/>
      </w:tblBorders>
    </w:tblPr>
    <w:tblStylePr w:type="firstRow">
      <w:rPr>
        <w:b/>
        <w:color w:val="404040"/>
      </w:rPr>
      <w:tblPr/>
      <w:tcPr>
        <w:tcBorders>
          <w:top w:val="none" w:sz="4" w:space="0" w:color="000000"/>
          <w:left w:val="none" w:sz="4" w:space="0" w:color="000000"/>
          <w:bottom w:val="single" w:sz="12" w:space="0" w:color="FDF2B0" w:themeColor="accent4" w:themeTint="9A"/>
          <w:right w:val="none" w:sz="4" w:space="0" w:color="000000"/>
        </w:tcBorders>
        <w:shd w:val="clear" w:color="FFFFFF" w:fill="auto"/>
      </w:tcPr>
    </w:tblStylePr>
    <w:tblStylePr w:type="lastRow">
      <w:rPr>
        <w:b/>
        <w:color w:val="404040"/>
      </w:rPr>
      <w:tblPr/>
      <w:tcPr>
        <w:tcBorders>
          <w:top w:val="single" w:sz="4" w:space="0" w:color="FDF2B0"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EFAE4" w:themeColor="accent4" w:themeTint="34" w:fill="FEFAE4" w:themeFill="accent4" w:themeFillTint="34"/>
      </w:tcPr>
    </w:tblStylePr>
    <w:tblStylePr w:type="band1Horz">
      <w:rPr>
        <w:rFonts w:ascii="Arial" w:hAnsi="Arial"/>
        <w:color w:val="404040"/>
        <w:sz w:val="22"/>
      </w:rPr>
      <w:tblPr/>
      <w:tcPr>
        <w:shd w:val="clear" w:color="FEFAE4" w:themeColor="accent4" w:themeTint="34" w:fill="FEFAE4"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7E97CE" w:themeColor="accent5"/>
        <w:insideH w:val="single" w:sz="4" w:space="0" w:color="7E97CE" w:themeColor="accent5"/>
        <w:insideV w:val="single" w:sz="4" w:space="0" w:color="7E97CE" w:themeColor="accent5"/>
      </w:tblBorders>
    </w:tblPr>
    <w:tblStylePr w:type="firstRow">
      <w:rPr>
        <w:b/>
        <w:color w:val="404040"/>
      </w:rPr>
      <w:tblPr/>
      <w:tcPr>
        <w:tcBorders>
          <w:top w:val="none" w:sz="4" w:space="0" w:color="000000"/>
          <w:left w:val="none" w:sz="4" w:space="0" w:color="000000"/>
          <w:bottom w:val="single" w:sz="12" w:space="0" w:color="7E97CE" w:themeColor="accent5"/>
          <w:right w:val="none" w:sz="4" w:space="0" w:color="000000"/>
        </w:tcBorders>
        <w:shd w:val="clear" w:color="FFFFFF" w:fill="auto"/>
      </w:tcPr>
    </w:tblStylePr>
    <w:tblStylePr w:type="lastRow">
      <w:rPr>
        <w:b/>
        <w:color w:val="404040"/>
      </w:rPr>
      <w:tblPr/>
      <w:tcPr>
        <w:tcBorders>
          <w:top w:val="single" w:sz="4" w:space="0" w:color="7E97CE"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4E9F5" w:themeColor="accent5" w:themeTint="34" w:fill="E4E9F5" w:themeFill="accent5" w:themeFillTint="34"/>
      </w:tcPr>
    </w:tblStylePr>
    <w:tblStylePr w:type="band1Horz">
      <w:rPr>
        <w:rFonts w:ascii="Arial" w:hAnsi="Arial"/>
        <w:color w:val="404040"/>
        <w:sz w:val="22"/>
      </w:rPr>
      <w:tblPr/>
      <w:tcPr>
        <w:shd w:val="clear" w:color="E4E9F5" w:themeColor="accent5" w:themeTint="34" w:fill="E4E9F5"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60B467" w:themeColor="accent6"/>
        <w:insideH w:val="single" w:sz="4" w:space="0" w:color="60B467" w:themeColor="accent6"/>
        <w:insideV w:val="single" w:sz="4" w:space="0" w:color="60B467" w:themeColor="accent6"/>
      </w:tblBorders>
    </w:tblPr>
    <w:tblStylePr w:type="firstRow">
      <w:rPr>
        <w:b/>
        <w:color w:val="404040"/>
      </w:rPr>
      <w:tblPr/>
      <w:tcPr>
        <w:tcBorders>
          <w:top w:val="none" w:sz="4" w:space="0" w:color="000000"/>
          <w:left w:val="none" w:sz="4" w:space="0" w:color="000000"/>
          <w:bottom w:val="single" w:sz="12" w:space="0" w:color="60B467" w:themeColor="accent6"/>
          <w:right w:val="none" w:sz="4" w:space="0" w:color="000000"/>
        </w:tcBorders>
        <w:shd w:val="clear" w:color="FFFFFF" w:fill="auto"/>
      </w:tcPr>
    </w:tblStylePr>
    <w:tblStylePr w:type="lastRow">
      <w:rPr>
        <w:b/>
        <w:color w:val="404040"/>
      </w:rPr>
      <w:tblPr/>
      <w:tcPr>
        <w:tcBorders>
          <w:top w:val="single" w:sz="4" w:space="0" w:color="60B46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FDF" w:themeColor="accent6" w:themeTint="34" w:fill="DEEFDF" w:themeFill="accent6" w:themeFillTint="34"/>
      </w:tcPr>
    </w:tblStylePr>
    <w:tblStylePr w:type="band1Horz">
      <w:rPr>
        <w:rFonts w:ascii="Arial" w:hAnsi="Arial"/>
        <w:color w:val="404040"/>
        <w:sz w:val="22"/>
      </w:rPr>
      <w:tblPr/>
      <w:tcPr>
        <w:shd w:val="clear" w:color="DEEFDF" w:themeColor="accent6" w:themeTint="34" w:fill="DEEFDF"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F08164" w:themeColor="accent1" w:themeTint="EA"/>
        <w:insideH w:val="single" w:sz="4" w:space="0" w:color="F08164" w:themeColor="accent1" w:themeTint="EA"/>
        <w:insideV w:val="single" w:sz="4" w:space="0" w:color="F08164"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3DC" w:themeColor="accent1" w:themeTint="34" w:fill="FBE3DC" w:themeFill="accent1" w:themeFillTint="34"/>
      </w:tcPr>
    </w:tblStylePr>
    <w:tblStylePr w:type="band1Horz">
      <w:rPr>
        <w:rFonts w:ascii="Arial" w:hAnsi="Arial"/>
        <w:color w:val="404040"/>
        <w:sz w:val="22"/>
      </w:rPr>
      <w:tblPr/>
      <w:tcPr>
        <w:shd w:val="clear" w:color="FBE3DC" w:themeColor="accent1" w:themeTint="34" w:fill="FBE3DC"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635ECB" w:themeColor="accent2" w:themeTint="97"/>
        <w:insideH w:val="single" w:sz="4" w:space="0" w:color="635ECB" w:themeColor="accent2" w:themeTint="97"/>
        <w:insideV w:val="single" w:sz="4" w:space="0" w:color="635ECB"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9EE" w:themeColor="accent2" w:themeTint="32" w:fill="CBC9EE" w:themeFill="accent2" w:themeFillTint="32"/>
      </w:tcPr>
    </w:tblStylePr>
    <w:tblStylePr w:type="band1Horz">
      <w:rPr>
        <w:rFonts w:ascii="Arial" w:hAnsi="Arial"/>
        <w:color w:val="404040"/>
        <w:sz w:val="22"/>
      </w:rPr>
      <w:tblPr/>
      <w:tcPr>
        <w:shd w:val="clear" w:color="CBC9EE" w:themeColor="accent2" w:themeTint="32" w:fill="CBC9EE"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B0CC4E" w:themeColor="accent3" w:themeTint="FE"/>
        <w:insideH w:val="single" w:sz="4" w:space="0" w:color="B0CC4E" w:themeColor="accent3" w:themeTint="FE"/>
        <w:insideV w:val="single" w:sz="4" w:space="0" w:color="B0CC4E"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EF4DA" w:themeColor="accent3" w:themeTint="34" w:fill="EEF4DA" w:themeFill="accent3" w:themeFillTint="34"/>
      </w:tcPr>
    </w:tblStylePr>
    <w:tblStylePr w:type="band1Horz">
      <w:rPr>
        <w:rFonts w:ascii="Arial" w:hAnsi="Arial"/>
        <w:color w:val="404040"/>
        <w:sz w:val="22"/>
      </w:rPr>
      <w:tblPr/>
      <w:tcPr>
        <w:shd w:val="clear" w:color="EEF4DA" w:themeColor="accent3" w:themeTint="34" w:fill="EEF4DA"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FDF2B0" w:themeColor="accent4" w:themeTint="9A"/>
        <w:insideH w:val="single" w:sz="4" w:space="0" w:color="FDF2B0" w:themeColor="accent4" w:themeTint="9A"/>
        <w:insideV w:val="single" w:sz="4" w:space="0" w:color="FDF2B0"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EFAE4" w:themeColor="accent4" w:themeTint="34" w:fill="FEFAE4" w:themeFill="accent4" w:themeFillTint="34"/>
      </w:tcPr>
    </w:tblStylePr>
    <w:tblStylePr w:type="band1Horz">
      <w:rPr>
        <w:rFonts w:ascii="Arial" w:hAnsi="Arial"/>
        <w:color w:val="404040"/>
        <w:sz w:val="22"/>
      </w:rPr>
      <w:tblPr/>
      <w:tcPr>
        <w:shd w:val="clear" w:color="FEFAE4" w:themeColor="accent4" w:themeTint="34" w:fill="FEFAE4"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7E97CE" w:themeColor="accent5"/>
        <w:insideH w:val="single" w:sz="4" w:space="0" w:color="7E97CE" w:themeColor="accent5"/>
        <w:insideV w:val="single" w:sz="4" w:space="0" w:color="7E97CE"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4E9F5" w:themeColor="accent5" w:themeTint="34" w:fill="E4E9F5" w:themeFill="accent5" w:themeFillTint="34"/>
      </w:tcPr>
    </w:tblStylePr>
    <w:tblStylePr w:type="band1Horz">
      <w:rPr>
        <w:rFonts w:ascii="Arial" w:hAnsi="Arial"/>
        <w:color w:val="404040"/>
        <w:sz w:val="22"/>
      </w:rPr>
      <w:tblPr/>
      <w:tcPr>
        <w:shd w:val="clear" w:color="E4E9F5" w:themeColor="accent5" w:themeTint="34" w:fill="E4E9F5"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60B467" w:themeColor="accent6"/>
        <w:insideH w:val="single" w:sz="4" w:space="0" w:color="60B467" w:themeColor="accent6"/>
        <w:insideV w:val="single" w:sz="4" w:space="0" w:color="60B46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EEFDF" w:themeColor="accent6" w:themeTint="34" w:fill="DEEFDF" w:themeFill="accent6" w:themeFillTint="34"/>
      </w:tcPr>
    </w:tblStylePr>
    <w:tblStylePr w:type="band1Horz">
      <w:rPr>
        <w:rFonts w:ascii="Arial" w:hAnsi="Arial"/>
        <w:color w:val="404040"/>
        <w:sz w:val="22"/>
      </w:rPr>
      <w:tblPr/>
      <w:tcPr>
        <w:shd w:val="clear" w:color="DEEFDF" w:themeColor="accent6" w:themeTint="34" w:fill="DEEFDF"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F6B1A0" w:themeColor="accent1" w:themeTint="90"/>
        <w:left w:val="single" w:sz="4" w:space="0" w:color="F6B1A0" w:themeColor="accent1" w:themeTint="90"/>
        <w:bottom w:val="single" w:sz="4" w:space="0" w:color="F6B1A0" w:themeColor="accent1" w:themeTint="90"/>
        <w:right w:val="single" w:sz="4" w:space="0" w:color="F6B1A0" w:themeColor="accent1" w:themeTint="90"/>
        <w:insideH w:val="single" w:sz="4" w:space="0" w:color="F6B1A0" w:themeColor="accent1" w:themeTint="90"/>
        <w:insideV w:val="single" w:sz="4" w:space="0" w:color="F6B1A0" w:themeColor="accent1" w:themeTint="90"/>
      </w:tblBorders>
    </w:tblPr>
    <w:tblStylePr w:type="firstRow">
      <w:rPr>
        <w:rFonts w:ascii="Arial" w:hAnsi="Arial"/>
        <w:b/>
        <w:color w:val="FFFFFF"/>
        <w:sz w:val="22"/>
      </w:rPr>
      <w:tblPr/>
      <w:tcPr>
        <w:tcBorders>
          <w:top w:val="single" w:sz="4" w:space="0" w:color="F08164" w:themeColor="accent1" w:themeTint="EA"/>
          <w:left w:val="single" w:sz="4" w:space="0" w:color="F08164" w:themeColor="accent1" w:themeTint="EA"/>
          <w:bottom w:val="single" w:sz="4" w:space="0" w:color="F08164" w:themeColor="accent1" w:themeTint="EA"/>
          <w:right w:val="single" w:sz="4" w:space="0" w:color="F08164" w:themeColor="accent1" w:themeTint="EA"/>
        </w:tcBorders>
        <w:shd w:val="clear" w:color="F08164" w:themeColor="accent1" w:themeTint="EA" w:fill="F08164" w:themeFill="accent1" w:themeFillTint="EA"/>
      </w:tcPr>
    </w:tblStylePr>
    <w:tblStylePr w:type="lastRow">
      <w:rPr>
        <w:b/>
        <w:color w:val="404040"/>
      </w:rPr>
      <w:tblPr/>
      <w:tcPr>
        <w:tcBorders>
          <w:top w:val="single" w:sz="4" w:space="0" w:color="F08164"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4DD" w:themeColor="accent1" w:themeTint="32" w:fill="FBE4DD" w:themeFill="accent1" w:themeFillTint="32"/>
      </w:tcPr>
    </w:tblStylePr>
    <w:tblStylePr w:type="band1Horz">
      <w:rPr>
        <w:rFonts w:ascii="Arial" w:hAnsi="Arial"/>
        <w:color w:val="404040"/>
        <w:sz w:val="22"/>
      </w:rPr>
      <w:tblPr/>
      <w:tcPr>
        <w:shd w:val="clear" w:color="FBE4DD" w:themeColor="accent1" w:themeTint="32" w:fill="FBE4DD"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6A66CE" w:themeColor="accent2" w:themeTint="90"/>
        <w:left w:val="single" w:sz="4" w:space="0" w:color="6A66CE" w:themeColor="accent2" w:themeTint="90"/>
        <w:bottom w:val="single" w:sz="4" w:space="0" w:color="6A66CE" w:themeColor="accent2" w:themeTint="90"/>
        <w:right w:val="single" w:sz="4" w:space="0" w:color="6A66CE" w:themeColor="accent2" w:themeTint="90"/>
        <w:insideH w:val="single" w:sz="4" w:space="0" w:color="6A66CE" w:themeColor="accent2" w:themeTint="90"/>
        <w:insideV w:val="single" w:sz="4" w:space="0" w:color="6A66CE" w:themeColor="accent2" w:themeTint="90"/>
      </w:tblBorders>
    </w:tblPr>
    <w:tblStylePr w:type="firstRow">
      <w:rPr>
        <w:rFonts w:ascii="Arial" w:hAnsi="Arial"/>
        <w:b/>
        <w:color w:val="FFFFFF"/>
        <w:sz w:val="22"/>
      </w:rPr>
      <w:tblPr/>
      <w:tcPr>
        <w:tcBorders>
          <w:top w:val="single" w:sz="4" w:space="0" w:color="635ECB" w:themeColor="accent2" w:themeTint="97"/>
          <w:left w:val="single" w:sz="4" w:space="0" w:color="635ECB" w:themeColor="accent2" w:themeTint="97"/>
          <w:bottom w:val="single" w:sz="4" w:space="0" w:color="635ECB" w:themeColor="accent2" w:themeTint="97"/>
          <w:right w:val="single" w:sz="4" w:space="0" w:color="635ECB" w:themeColor="accent2" w:themeTint="97"/>
        </w:tcBorders>
        <w:shd w:val="clear" w:color="635ECB" w:themeColor="accent2" w:themeTint="97" w:fill="635ECB" w:themeFill="accent2" w:themeFillTint="97"/>
      </w:tcPr>
    </w:tblStylePr>
    <w:tblStylePr w:type="lastRow">
      <w:rPr>
        <w:b/>
        <w:color w:val="404040"/>
      </w:rPr>
      <w:tblPr/>
      <w:tcPr>
        <w:tcBorders>
          <w:top w:val="single" w:sz="4" w:space="0" w:color="635ECB"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9EE" w:themeColor="accent2" w:themeTint="32" w:fill="CBC9EE" w:themeFill="accent2" w:themeFillTint="32"/>
      </w:tcPr>
    </w:tblStylePr>
    <w:tblStylePr w:type="band1Horz">
      <w:rPr>
        <w:rFonts w:ascii="Arial" w:hAnsi="Arial"/>
        <w:color w:val="404040"/>
        <w:sz w:val="22"/>
      </w:rPr>
      <w:tblPr/>
      <w:tcPr>
        <w:shd w:val="clear" w:color="CBC9EE" w:themeColor="accent2" w:themeTint="32" w:fill="CBC9EE"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D2E29A" w:themeColor="accent3" w:themeTint="90"/>
        <w:left w:val="single" w:sz="4" w:space="0" w:color="D2E29A" w:themeColor="accent3" w:themeTint="90"/>
        <w:bottom w:val="single" w:sz="4" w:space="0" w:color="D2E29A" w:themeColor="accent3" w:themeTint="90"/>
        <w:right w:val="single" w:sz="4" w:space="0" w:color="D2E29A" w:themeColor="accent3" w:themeTint="90"/>
        <w:insideH w:val="single" w:sz="4" w:space="0" w:color="D2E29A" w:themeColor="accent3" w:themeTint="90"/>
        <w:insideV w:val="single" w:sz="4" w:space="0" w:color="D2E29A" w:themeColor="accent3" w:themeTint="90"/>
      </w:tblBorders>
    </w:tblPr>
    <w:tblStylePr w:type="firstRow">
      <w:rPr>
        <w:rFonts w:ascii="Arial" w:hAnsi="Arial"/>
        <w:b/>
        <w:color w:val="FFFFFF"/>
        <w:sz w:val="22"/>
      </w:rPr>
      <w:tblPr/>
      <w:tcPr>
        <w:tcBorders>
          <w:top w:val="single" w:sz="4" w:space="0" w:color="B0CC4E" w:themeColor="accent3" w:themeTint="FE"/>
          <w:left w:val="single" w:sz="4" w:space="0" w:color="B0CC4E" w:themeColor="accent3" w:themeTint="FE"/>
          <w:bottom w:val="single" w:sz="4" w:space="0" w:color="B0CC4E" w:themeColor="accent3" w:themeTint="FE"/>
          <w:right w:val="single" w:sz="4" w:space="0" w:color="B0CC4E" w:themeColor="accent3" w:themeTint="FE"/>
        </w:tcBorders>
        <w:shd w:val="clear" w:color="B0CC4E" w:themeColor="accent3" w:themeTint="FE" w:fill="B0CC4E" w:themeFill="accent3" w:themeFillTint="FE"/>
      </w:tcPr>
    </w:tblStylePr>
    <w:tblStylePr w:type="lastRow">
      <w:rPr>
        <w:b/>
        <w:color w:val="404040"/>
      </w:rPr>
      <w:tblPr/>
      <w:tcPr>
        <w:tcBorders>
          <w:top w:val="single" w:sz="4" w:space="0" w:color="B0CC4E"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F4DA" w:themeColor="accent3" w:themeTint="34" w:fill="EEF4DA" w:themeFill="accent3" w:themeFillTint="34"/>
      </w:tcPr>
    </w:tblStylePr>
    <w:tblStylePr w:type="band1Horz">
      <w:rPr>
        <w:rFonts w:ascii="Arial" w:hAnsi="Arial"/>
        <w:color w:val="404040"/>
        <w:sz w:val="22"/>
      </w:rPr>
      <w:tblPr/>
      <w:tcPr>
        <w:shd w:val="clear" w:color="EEF4DA" w:themeColor="accent3" w:themeTint="34" w:fill="EEF4DA"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FEF3B5" w:themeColor="accent4" w:themeTint="90"/>
        <w:left w:val="single" w:sz="4" w:space="0" w:color="FEF3B5" w:themeColor="accent4" w:themeTint="90"/>
        <w:bottom w:val="single" w:sz="4" w:space="0" w:color="FEF3B5" w:themeColor="accent4" w:themeTint="90"/>
        <w:right w:val="single" w:sz="4" w:space="0" w:color="FEF3B5" w:themeColor="accent4" w:themeTint="90"/>
        <w:insideH w:val="single" w:sz="4" w:space="0" w:color="FEF3B5" w:themeColor="accent4" w:themeTint="90"/>
        <w:insideV w:val="single" w:sz="4" w:space="0" w:color="FEF3B5" w:themeColor="accent4" w:themeTint="90"/>
      </w:tblBorders>
    </w:tblPr>
    <w:tblStylePr w:type="firstRow">
      <w:rPr>
        <w:rFonts w:ascii="Arial" w:hAnsi="Arial"/>
        <w:b/>
        <w:color w:val="FFFFFF"/>
        <w:sz w:val="22"/>
      </w:rPr>
      <w:tblPr/>
      <w:tcPr>
        <w:tcBorders>
          <w:top w:val="single" w:sz="4" w:space="0" w:color="FDF2B0" w:themeColor="accent4" w:themeTint="9A"/>
          <w:left w:val="single" w:sz="4" w:space="0" w:color="FDF2B0" w:themeColor="accent4" w:themeTint="9A"/>
          <w:bottom w:val="single" w:sz="4" w:space="0" w:color="FDF2B0" w:themeColor="accent4" w:themeTint="9A"/>
          <w:right w:val="single" w:sz="4" w:space="0" w:color="FDF2B0" w:themeColor="accent4" w:themeTint="9A"/>
        </w:tcBorders>
        <w:shd w:val="clear" w:color="FDF2B0" w:themeColor="accent4" w:themeTint="9A" w:fill="FDF2B0" w:themeFill="accent4" w:themeFillTint="9A"/>
      </w:tcPr>
    </w:tblStylePr>
    <w:tblStylePr w:type="lastRow">
      <w:rPr>
        <w:b/>
        <w:color w:val="404040"/>
      </w:rPr>
      <w:tblPr/>
      <w:tcPr>
        <w:tcBorders>
          <w:top w:val="single" w:sz="4" w:space="0" w:color="FDF2B0"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EFAE4" w:themeColor="accent4" w:themeTint="34" w:fill="FEFAE4" w:themeFill="accent4" w:themeFillTint="34"/>
      </w:tcPr>
    </w:tblStylePr>
    <w:tblStylePr w:type="band1Horz">
      <w:rPr>
        <w:rFonts w:ascii="Arial" w:hAnsi="Arial"/>
        <w:color w:val="404040"/>
        <w:sz w:val="22"/>
      </w:rPr>
      <w:tblPr/>
      <w:tcPr>
        <w:shd w:val="clear" w:color="FEFAE4" w:themeColor="accent4" w:themeTint="34" w:fill="FEFAE4"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B6C4E3" w:themeColor="accent5" w:themeTint="90"/>
        <w:left w:val="single" w:sz="4" w:space="0" w:color="B6C4E3" w:themeColor="accent5" w:themeTint="90"/>
        <w:bottom w:val="single" w:sz="4" w:space="0" w:color="B6C4E3" w:themeColor="accent5" w:themeTint="90"/>
        <w:right w:val="single" w:sz="4" w:space="0" w:color="B6C4E3" w:themeColor="accent5" w:themeTint="90"/>
        <w:insideH w:val="single" w:sz="4" w:space="0" w:color="B6C4E3" w:themeColor="accent5" w:themeTint="90"/>
        <w:insideV w:val="single" w:sz="4" w:space="0" w:color="B6C4E3" w:themeColor="accent5" w:themeTint="90"/>
      </w:tblBorders>
    </w:tblPr>
    <w:tblStylePr w:type="firstRow">
      <w:rPr>
        <w:rFonts w:ascii="Arial" w:hAnsi="Arial"/>
        <w:b/>
        <w:color w:val="FFFFFF"/>
        <w:sz w:val="22"/>
      </w:rPr>
      <w:tblPr/>
      <w:tcPr>
        <w:tcBorders>
          <w:top w:val="single" w:sz="4" w:space="0" w:color="7E97CE" w:themeColor="accent5"/>
          <w:left w:val="single" w:sz="4" w:space="0" w:color="7E97CE" w:themeColor="accent5"/>
          <w:bottom w:val="single" w:sz="4" w:space="0" w:color="7E97CE" w:themeColor="accent5"/>
          <w:right w:val="single" w:sz="4" w:space="0" w:color="7E97CE" w:themeColor="accent5"/>
        </w:tcBorders>
        <w:shd w:val="clear" w:color="7E97CE" w:themeColor="accent5" w:fill="7E97CE" w:themeFill="accent5"/>
      </w:tcPr>
    </w:tblStylePr>
    <w:tblStylePr w:type="lastRow">
      <w:rPr>
        <w:b/>
        <w:color w:val="404040"/>
      </w:rPr>
      <w:tblPr/>
      <w:tcPr>
        <w:tcBorders>
          <w:top w:val="single" w:sz="4" w:space="0" w:color="7E97CE"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4E9F5" w:themeColor="accent5" w:themeTint="34" w:fill="E4E9F5" w:themeFill="accent5" w:themeFillTint="34"/>
      </w:tcPr>
    </w:tblStylePr>
    <w:tblStylePr w:type="band1Horz">
      <w:rPr>
        <w:rFonts w:ascii="Arial" w:hAnsi="Arial"/>
        <w:color w:val="404040"/>
        <w:sz w:val="22"/>
      </w:rPr>
      <w:tblPr/>
      <w:tcPr>
        <w:shd w:val="clear" w:color="E4E9F5" w:themeColor="accent5" w:themeTint="34" w:fill="E4E9F5"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A5D4A8" w:themeColor="accent6" w:themeTint="90"/>
        <w:left w:val="single" w:sz="4" w:space="0" w:color="A5D4A8" w:themeColor="accent6" w:themeTint="90"/>
        <w:bottom w:val="single" w:sz="4" w:space="0" w:color="A5D4A8" w:themeColor="accent6" w:themeTint="90"/>
        <w:right w:val="single" w:sz="4" w:space="0" w:color="A5D4A8" w:themeColor="accent6" w:themeTint="90"/>
        <w:insideH w:val="single" w:sz="4" w:space="0" w:color="A5D4A8" w:themeColor="accent6" w:themeTint="90"/>
        <w:insideV w:val="single" w:sz="4" w:space="0" w:color="A5D4A8" w:themeColor="accent6" w:themeTint="90"/>
      </w:tblBorders>
    </w:tblPr>
    <w:tblStylePr w:type="firstRow">
      <w:rPr>
        <w:rFonts w:ascii="Arial" w:hAnsi="Arial"/>
        <w:b/>
        <w:color w:val="FFFFFF"/>
        <w:sz w:val="22"/>
      </w:rPr>
      <w:tblPr/>
      <w:tcPr>
        <w:tcBorders>
          <w:top w:val="single" w:sz="4" w:space="0" w:color="60B467" w:themeColor="accent6"/>
          <w:left w:val="single" w:sz="4" w:space="0" w:color="60B467" w:themeColor="accent6"/>
          <w:bottom w:val="single" w:sz="4" w:space="0" w:color="60B467" w:themeColor="accent6"/>
          <w:right w:val="single" w:sz="4" w:space="0" w:color="60B467" w:themeColor="accent6"/>
        </w:tcBorders>
        <w:shd w:val="clear" w:color="60B467" w:themeColor="accent6" w:fill="60B467" w:themeFill="accent6"/>
      </w:tcPr>
    </w:tblStylePr>
    <w:tblStylePr w:type="lastRow">
      <w:rPr>
        <w:b/>
        <w:color w:val="404040"/>
      </w:rPr>
      <w:tblPr/>
      <w:tcPr>
        <w:tcBorders>
          <w:top w:val="single" w:sz="4" w:space="0" w:color="60B46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FDF" w:themeColor="accent6" w:themeTint="34" w:fill="DEEFDF" w:themeFill="accent6" w:themeFillTint="34"/>
      </w:tcPr>
    </w:tblStylePr>
    <w:tblStylePr w:type="band1Horz">
      <w:rPr>
        <w:rFonts w:ascii="Arial" w:hAnsi="Arial"/>
        <w:color w:val="404040"/>
        <w:sz w:val="22"/>
      </w:rPr>
      <w:tblPr/>
      <w:tcPr>
        <w:shd w:val="clear" w:color="DEEFDF" w:themeColor="accent6" w:themeTint="34" w:fill="DEEFDF"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3DC" w:themeColor="accent1" w:themeTint="34" w:fill="FBE3DC" w:themeFill="accent1" w:themeFillTint="34"/>
    </w:tblPr>
    <w:tblStylePr w:type="firstRow">
      <w:rPr>
        <w:rFonts w:ascii="Arial" w:hAnsi="Arial"/>
        <w:b/>
        <w:color w:val="FFFFFF"/>
        <w:sz w:val="22"/>
      </w:rPr>
      <w:tblPr/>
      <w:tcPr>
        <w:shd w:val="clear" w:color="EF7757" w:themeColor="accent1" w:fill="EF7757" w:themeFill="accent1"/>
      </w:tcPr>
    </w:tblStylePr>
    <w:tblStylePr w:type="lastRow">
      <w:rPr>
        <w:rFonts w:ascii="Arial" w:hAnsi="Arial"/>
        <w:b/>
        <w:color w:val="FFFFFF"/>
        <w:sz w:val="22"/>
      </w:rPr>
      <w:tblPr/>
      <w:tcPr>
        <w:tcBorders>
          <w:top w:val="single" w:sz="4" w:space="0" w:color="FFFFFF" w:themeColor="light1"/>
        </w:tcBorders>
        <w:shd w:val="clear" w:color="EF7757" w:themeColor="accent1" w:fill="EF7757" w:themeFill="accent1"/>
      </w:tcPr>
    </w:tblStylePr>
    <w:tblStylePr w:type="firstCol">
      <w:rPr>
        <w:rFonts w:ascii="Arial" w:hAnsi="Arial"/>
        <w:b/>
        <w:color w:val="FFFFFF"/>
        <w:sz w:val="22"/>
      </w:rPr>
      <w:tblPr/>
      <w:tcPr>
        <w:shd w:val="clear" w:color="EF7757" w:themeColor="accent1" w:fill="EF7757" w:themeFill="accent1"/>
      </w:tcPr>
    </w:tblStylePr>
    <w:tblStylePr w:type="lastCol">
      <w:rPr>
        <w:rFonts w:ascii="Arial" w:hAnsi="Arial"/>
        <w:b/>
        <w:color w:val="FFFFFF"/>
        <w:sz w:val="22"/>
      </w:rPr>
      <w:tblPr/>
      <w:tcPr>
        <w:shd w:val="clear" w:color="EF7757" w:themeColor="accent1" w:fill="EF7757" w:themeFill="accent1"/>
      </w:tcPr>
    </w:tblStylePr>
    <w:tblStylePr w:type="band1Vert">
      <w:tblPr/>
      <w:tcPr>
        <w:shd w:val="clear" w:color="F7C0B1" w:themeColor="accent1" w:themeTint="75" w:fill="F7C0B1" w:themeFill="accent1" w:themeFillTint="75"/>
      </w:tcPr>
    </w:tblStylePr>
    <w:tblStylePr w:type="band1Horz">
      <w:tblPr/>
      <w:tcPr>
        <w:shd w:val="clear" w:color="F7C0B1" w:themeColor="accent1" w:themeTint="75" w:fill="F7C0B1"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C9EE" w:themeColor="accent2" w:themeTint="32" w:fill="CBC9EE" w:themeFill="accent2" w:themeFillTint="32"/>
    </w:tblPr>
    <w:tblStylePr w:type="firstRow">
      <w:rPr>
        <w:rFonts w:ascii="Arial" w:hAnsi="Arial"/>
        <w:b/>
        <w:color w:val="FFFFFF"/>
        <w:sz w:val="22"/>
      </w:rPr>
      <w:tblPr/>
      <w:tcPr>
        <w:shd w:val="clear" w:color="292574" w:themeColor="accent2" w:fill="292574" w:themeFill="accent2"/>
      </w:tcPr>
    </w:tblStylePr>
    <w:tblStylePr w:type="lastRow">
      <w:rPr>
        <w:rFonts w:ascii="Arial" w:hAnsi="Arial"/>
        <w:b/>
        <w:color w:val="FFFFFF"/>
        <w:sz w:val="22"/>
      </w:rPr>
      <w:tblPr/>
      <w:tcPr>
        <w:tcBorders>
          <w:top w:val="single" w:sz="4" w:space="0" w:color="FFFFFF" w:themeColor="light1"/>
        </w:tcBorders>
        <w:shd w:val="clear" w:color="292574" w:themeColor="accent2" w:fill="292574" w:themeFill="accent2"/>
      </w:tcPr>
    </w:tblStylePr>
    <w:tblStylePr w:type="firstCol">
      <w:rPr>
        <w:rFonts w:ascii="Arial" w:hAnsi="Arial"/>
        <w:b/>
        <w:color w:val="FFFFFF"/>
        <w:sz w:val="22"/>
      </w:rPr>
      <w:tblPr/>
      <w:tcPr>
        <w:shd w:val="clear" w:color="292574" w:themeColor="accent2" w:fill="292574" w:themeFill="accent2"/>
      </w:tcPr>
    </w:tblStylePr>
    <w:tblStylePr w:type="lastCol">
      <w:rPr>
        <w:rFonts w:ascii="Arial" w:hAnsi="Arial"/>
        <w:b/>
        <w:color w:val="FFFFFF"/>
        <w:sz w:val="22"/>
      </w:rPr>
      <w:tblPr/>
      <w:tcPr>
        <w:shd w:val="clear" w:color="292574" w:themeColor="accent2" w:fill="292574" w:themeFill="accent2"/>
      </w:tcPr>
    </w:tblStylePr>
    <w:tblStylePr w:type="band1Vert">
      <w:tblPr/>
      <w:tcPr>
        <w:shd w:val="clear" w:color="8682D7" w:themeColor="accent2" w:themeTint="75" w:fill="8682D7" w:themeFill="accent2" w:themeFillTint="75"/>
      </w:tcPr>
    </w:tblStylePr>
    <w:tblStylePr w:type="band1Horz">
      <w:tblPr/>
      <w:tcPr>
        <w:shd w:val="clear" w:color="8682D7" w:themeColor="accent2" w:themeTint="75" w:fill="8682D7"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EF4DA" w:themeColor="accent3" w:themeTint="34" w:fill="EEF4DA" w:themeFill="accent3" w:themeFillTint="34"/>
    </w:tblPr>
    <w:tblStylePr w:type="firstRow">
      <w:rPr>
        <w:rFonts w:ascii="Arial" w:hAnsi="Arial"/>
        <w:b/>
        <w:color w:val="FFFFFF"/>
        <w:sz w:val="22"/>
      </w:rPr>
      <w:tblPr/>
      <w:tcPr>
        <w:shd w:val="clear" w:color="B0CC4E" w:themeColor="accent3" w:fill="B0CC4E" w:themeFill="accent3"/>
      </w:tcPr>
    </w:tblStylePr>
    <w:tblStylePr w:type="lastRow">
      <w:rPr>
        <w:rFonts w:ascii="Arial" w:hAnsi="Arial"/>
        <w:b/>
        <w:color w:val="FFFFFF"/>
        <w:sz w:val="22"/>
      </w:rPr>
      <w:tblPr/>
      <w:tcPr>
        <w:tcBorders>
          <w:top w:val="single" w:sz="4" w:space="0" w:color="FFFFFF" w:themeColor="light1"/>
        </w:tcBorders>
        <w:shd w:val="clear" w:color="B0CC4E" w:themeColor="accent3" w:fill="B0CC4E" w:themeFill="accent3"/>
      </w:tcPr>
    </w:tblStylePr>
    <w:tblStylePr w:type="firstCol">
      <w:rPr>
        <w:rFonts w:ascii="Arial" w:hAnsi="Arial"/>
        <w:b/>
        <w:color w:val="FFFFFF"/>
        <w:sz w:val="22"/>
      </w:rPr>
      <w:tblPr/>
      <w:tcPr>
        <w:shd w:val="clear" w:color="B0CC4E" w:themeColor="accent3" w:fill="B0CC4E" w:themeFill="accent3"/>
      </w:tcPr>
    </w:tblStylePr>
    <w:tblStylePr w:type="lastCol">
      <w:rPr>
        <w:rFonts w:ascii="Arial" w:hAnsi="Arial"/>
        <w:b/>
        <w:color w:val="FFFFFF"/>
        <w:sz w:val="22"/>
      </w:rPr>
      <w:tblPr/>
      <w:tcPr>
        <w:shd w:val="clear" w:color="B0CC4E" w:themeColor="accent3" w:fill="B0CC4E" w:themeFill="accent3"/>
      </w:tcPr>
    </w:tblStylePr>
    <w:tblStylePr w:type="band1Vert">
      <w:tblPr/>
      <w:tcPr>
        <w:shd w:val="clear" w:color="DAE7AD" w:themeColor="accent3" w:themeTint="75" w:fill="DAE7AD" w:themeFill="accent3" w:themeFillTint="75"/>
      </w:tcPr>
    </w:tblStylePr>
    <w:tblStylePr w:type="band1Horz">
      <w:tblPr/>
      <w:tcPr>
        <w:shd w:val="clear" w:color="DAE7AD" w:themeColor="accent3" w:themeTint="75" w:fill="DAE7AD"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EFAE4" w:themeColor="accent4" w:themeTint="34" w:fill="FEFAE4" w:themeFill="accent4" w:themeFillTint="34"/>
    </w:tblPr>
    <w:tblStylePr w:type="firstRow">
      <w:rPr>
        <w:rFonts w:ascii="Arial" w:hAnsi="Arial"/>
        <w:b/>
        <w:color w:val="FFFFFF"/>
        <w:sz w:val="22"/>
      </w:rPr>
      <w:tblPr/>
      <w:tcPr>
        <w:shd w:val="clear" w:color="FDEB7D" w:themeColor="accent4" w:fill="FDEB7D" w:themeFill="accent4"/>
      </w:tcPr>
    </w:tblStylePr>
    <w:tblStylePr w:type="lastRow">
      <w:rPr>
        <w:rFonts w:ascii="Arial" w:hAnsi="Arial"/>
        <w:b/>
        <w:color w:val="FFFFFF"/>
        <w:sz w:val="22"/>
      </w:rPr>
      <w:tblPr/>
      <w:tcPr>
        <w:tcBorders>
          <w:top w:val="single" w:sz="4" w:space="0" w:color="FFFFFF" w:themeColor="light1"/>
        </w:tcBorders>
        <w:shd w:val="clear" w:color="FDEB7D" w:themeColor="accent4" w:fill="FDEB7D" w:themeFill="accent4"/>
      </w:tcPr>
    </w:tblStylePr>
    <w:tblStylePr w:type="firstCol">
      <w:rPr>
        <w:rFonts w:ascii="Arial" w:hAnsi="Arial"/>
        <w:b/>
        <w:color w:val="FFFFFF"/>
        <w:sz w:val="22"/>
      </w:rPr>
      <w:tblPr/>
      <w:tcPr>
        <w:shd w:val="clear" w:color="FDEB7D" w:themeColor="accent4" w:fill="FDEB7D" w:themeFill="accent4"/>
      </w:tcPr>
    </w:tblStylePr>
    <w:tblStylePr w:type="lastCol">
      <w:rPr>
        <w:rFonts w:ascii="Arial" w:hAnsi="Arial"/>
        <w:b/>
        <w:color w:val="FFFFFF"/>
        <w:sz w:val="22"/>
      </w:rPr>
      <w:tblPr/>
      <w:tcPr>
        <w:shd w:val="clear" w:color="FDEB7D" w:themeColor="accent4" w:fill="FDEB7D" w:themeFill="accent4"/>
      </w:tcPr>
    </w:tblStylePr>
    <w:tblStylePr w:type="band1Vert">
      <w:tblPr/>
      <w:tcPr>
        <w:shd w:val="clear" w:color="FEF5C3" w:themeColor="accent4" w:themeTint="75" w:fill="FEF5C3" w:themeFill="accent4" w:themeFillTint="75"/>
      </w:tcPr>
    </w:tblStylePr>
    <w:tblStylePr w:type="band1Horz">
      <w:tblPr/>
      <w:tcPr>
        <w:shd w:val="clear" w:color="FEF5C3" w:themeColor="accent4" w:themeTint="75" w:fill="FEF5C3"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4E9F5" w:themeColor="accent5" w:themeTint="34" w:fill="E4E9F5" w:themeFill="accent5" w:themeFillTint="34"/>
    </w:tblPr>
    <w:tblStylePr w:type="firstRow">
      <w:rPr>
        <w:rFonts w:ascii="Arial" w:hAnsi="Arial"/>
        <w:b/>
        <w:color w:val="FFFFFF"/>
        <w:sz w:val="22"/>
      </w:rPr>
      <w:tblPr/>
      <w:tcPr>
        <w:shd w:val="clear" w:color="7E97CE" w:themeColor="accent5" w:fill="7E97CE" w:themeFill="accent5"/>
      </w:tcPr>
    </w:tblStylePr>
    <w:tblStylePr w:type="lastRow">
      <w:rPr>
        <w:rFonts w:ascii="Arial" w:hAnsi="Arial"/>
        <w:b/>
        <w:color w:val="FFFFFF"/>
        <w:sz w:val="22"/>
      </w:rPr>
      <w:tblPr/>
      <w:tcPr>
        <w:tcBorders>
          <w:top w:val="single" w:sz="4" w:space="0" w:color="FFFFFF" w:themeColor="light1"/>
        </w:tcBorders>
        <w:shd w:val="clear" w:color="7E97CE" w:themeColor="accent5" w:fill="7E97CE" w:themeFill="accent5"/>
      </w:tcPr>
    </w:tblStylePr>
    <w:tblStylePr w:type="firstCol">
      <w:rPr>
        <w:rFonts w:ascii="Arial" w:hAnsi="Arial"/>
        <w:b/>
        <w:color w:val="FFFFFF"/>
        <w:sz w:val="22"/>
      </w:rPr>
      <w:tblPr/>
      <w:tcPr>
        <w:shd w:val="clear" w:color="7E97CE" w:themeColor="accent5" w:fill="7E97CE" w:themeFill="accent5"/>
      </w:tcPr>
    </w:tblStylePr>
    <w:tblStylePr w:type="lastCol">
      <w:rPr>
        <w:rFonts w:ascii="Arial" w:hAnsi="Arial"/>
        <w:b/>
        <w:color w:val="FFFFFF"/>
        <w:sz w:val="22"/>
      </w:rPr>
      <w:tblPr/>
      <w:tcPr>
        <w:shd w:val="clear" w:color="7E97CE" w:themeColor="accent5" w:fill="7E97CE" w:themeFill="accent5"/>
      </w:tcPr>
    </w:tblStylePr>
    <w:tblStylePr w:type="band1Vert">
      <w:tblPr/>
      <w:tcPr>
        <w:shd w:val="clear" w:color="C3CEE8" w:themeColor="accent5" w:themeTint="75" w:fill="C3CEE8" w:themeFill="accent5" w:themeFillTint="75"/>
      </w:tcPr>
    </w:tblStylePr>
    <w:tblStylePr w:type="band1Horz">
      <w:tblPr/>
      <w:tcPr>
        <w:shd w:val="clear" w:color="C3CEE8" w:themeColor="accent5" w:themeTint="75" w:fill="C3CEE8"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EEFDF" w:themeColor="accent6" w:themeTint="34" w:fill="DEEFDF" w:themeFill="accent6" w:themeFillTint="34"/>
    </w:tblPr>
    <w:tblStylePr w:type="firstRow">
      <w:rPr>
        <w:rFonts w:ascii="Arial" w:hAnsi="Arial"/>
        <w:b/>
        <w:color w:val="FFFFFF"/>
        <w:sz w:val="22"/>
      </w:rPr>
      <w:tblPr/>
      <w:tcPr>
        <w:shd w:val="clear" w:color="60B467" w:themeColor="accent6" w:fill="60B467" w:themeFill="accent6"/>
      </w:tcPr>
    </w:tblStylePr>
    <w:tblStylePr w:type="lastRow">
      <w:rPr>
        <w:rFonts w:ascii="Arial" w:hAnsi="Arial"/>
        <w:b/>
        <w:color w:val="FFFFFF"/>
        <w:sz w:val="22"/>
      </w:rPr>
      <w:tblPr/>
      <w:tcPr>
        <w:tcBorders>
          <w:top w:val="single" w:sz="4" w:space="0" w:color="FFFFFF" w:themeColor="light1"/>
        </w:tcBorders>
        <w:shd w:val="clear" w:color="60B467" w:themeColor="accent6" w:fill="60B467" w:themeFill="accent6"/>
      </w:tcPr>
    </w:tblStylePr>
    <w:tblStylePr w:type="firstCol">
      <w:rPr>
        <w:rFonts w:ascii="Arial" w:hAnsi="Arial"/>
        <w:b/>
        <w:color w:val="FFFFFF"/>
        <w:sz w:val="22"/>
      </w:rPr>
      <w:tblPr/>
      <w:tcPr>
        <w:shd w:val="clear" w:color="60B467" w:themeColor="accent6" w:fill="60B467" w:themeFill="accent6"/>
      </w:tcPr>
    </w:tblStylePr>
    <w:tblStylePr w:type="lastCol">
      <w:rPr>
        <w:rFonts w:ascii="Arial" w:hAnsi="Arial"/>
        <w:b/>
        <w:color w:val="FFFFFF"/>
        <w:sz w:val="22"/>
      </w:rPr>
      <w:tblPr/>
      <w:tcPr>
        <w:shd w:val="clear" w:color="60B467" w:themeColor="accent6" w:fill="60B467" w:themeFill="accent6"/>
      </w:tcPr>
    </w:tblStylePr>
    <w:tblStylePr w:type="band1Vert">
      <w:tblPr/>
      <w:tcPr>
        <w:shd w:val="clear" w:color="B5DCB9" w:themeColor="accent6" w:themeTint="75" w:fill="B5DCB9" w:themeFill="accent6" w:themeFillTint="75"/>
      </w:tcPr>
    </w:tblStylePr>
    <w:tblStylePr w:type="band1Horz">
      <w:tblPr/>
      <w:tcPr>
        <w:shd w:val="clear" w:color="B5DCB9" w:themeColor="accent6" w:themeTint="75" w:fill="B5DCB9"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F7BAAA" w:themeColor="accent1" w:themeTint="80"/>
        <w:left w:val="single" w:sz="4" w:space="0" w:color="F7BAAA" w:themeColor="accent1" w:themeTint="80"/>
        <w:bottom w:val="single" w:sz="4" w:space="0" w:color="F7BAAA" w:themeColor="accent1" w:themeTint="80"/>
        <w:right w:val="single" w:sz="4" w:space="0" w:color="F7BAAA" w:themeColor="accent1" w:themeTint="80"/>
        <w:insideH w:val="single" w:sz="4" w:space="0" w:color="F7BAAA" w:themeColor="accent1" w:themeTint="80"/>
        <w:insideV w:val="single" w:sz="4" w:space="0" w:color="F7BAAA" w:themeColor="accent1" w:themeTint="80"/>
      </w:tblBorders>
    </w:tblPr>
    <w:tblStylePr w:type="firstRow">
      <w:rPr>
        <w:b/>
        <w:color w:val="F7BAAA" w:themeColor="accent1" w:themeTint="80" w:themeShade="95"/>
      </w:rPr>
      <w:tblPr/>
      <w:tcPr>
        <w:tcBorders>
          <w:bottom w:val="single" w:sz="12" w:space="0" w:color="F7BAAA" w:themeColor="accent1" w:themeTint="80"/>
        </w:tcBorders>
      </w:tcPr>
    </w:tblStylePr>
    <w:tblStylePr w:type="lastRow">
      <w:rPr>
        <w:b/>
        <w:color w:val="F7BAAA" w:themeColor="accent1" w:themeTint="80" w:themeShade="95"/>
      </w:rPr>
    </w:tblStylePr>
    <w:tblStylePr w:type="firstCol">
      <w:rPr>
        <w:b/>
        <w:color w:val="F7BAAA" w:themeColor="accent1" w:themeTint="80" w:themeShade="95"/>
      </w:rPr>
    </w:tblStylePr>
    <w:tblStylePr w:type="lastCol">
      <w:rPr>
        <w:b/>
        <w:color w:val="F7BAAA" w:themeColor="accent1" w:themeTint="80" w:themeShade="95"/>
      </w:rPr>
    </w:tblStylePr>
    <w:tblStylePr w:type="band1Vert">
      <w:tblPr/>
      <w:tcPr>
        <w:shd w:val="clear" w:color="FBE3DC" w:themeColor="accent1" w:themeTint="34" w:fill="FBE3DC" w:themeFill="accent1" w:themeFillTint="34"/>
      </w:tcPr>
    </w:tblStylePr>
    <w:tblStylePr w:type="band1Horz">
      <w:rPr>
        <w:rFonts w:ascii="Arial" w:hAnsi="Arial"/>
        <w:color w:val="F7BAAA" w:themeColor="accent1" w:themeTint="80" w:themeShade="95"/>
        <w:sz w:val="22"/>
      </w:rPr>
      <w:tblPr/>
      <w:tcPr>
        <w:shd w:val="clear" w:color="FBE3DC" w:themeColor="accent1" w:themeTint="34" w:fill="FBE3DC" w:themeFill="accent1" w:themeFillTint="34"/>
      </w:tcPr>
    </w:tblStylePr>
    <w:tblStylePr w:type="band2Horz">
      <w:rPr>
        <w:rFonts w:ascii="Arial" w:hAnsi="Arial"/>
        <w:color w:val="F7BAAA"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635ECB" w:themeColor="accent2" w:themeTint="97"/>
        <w:left w:val="single" w:sz="4" w:space="0" w:color="635ECB" w:themeColor="accent2" w:themeTint="97"/>
        <w:bottom w:val="single" w:sz="4" w:space="0" w:color="635ECB" w:themeColor="accent2" w:themeTint="97"/>
        <w:right w:val="single" w:sz="4" w:space="0" w:color="635ECB" w:themeColor="accent2" w:themeTint="97"/>
        <w:insideH w:val="single" w:sz="4" w:space="0" w:color="635ECB" w:themeColor="accent2" w:themeTint="97"/>
        <w:insideV w:val="single" w:sz="4" w:space="0" w:color="635ECB" w:themeColor="accent2" w:themeTint="97"/>
      </w:tblBorders>
    </w:tblPr>
    <w:tblStylePr w:type="firstRow">
      <w:rPr>
        <w:b/>
        <w:color w:val="635ECB" w:themeColor="accent2" w:themeTint="97" w:themeShade="95"/>
      </w:rPr>
      <w:tblPr/>
      <w:tcPr>
        <w:tcBorders>
          <w:bottom w:val="single" w:sz="12" w:space="0" w:color="635ECB" w:themeColor="accent2" w:themeTint="97"/>
        </w:tcBorders>
      </w:tcPr>
    </w:tblStylePr>
    <w:tblStylePr w:type="lastRow">
      <w:rPr>
        <w:b/>
        <w:color w:val="635ECB" w:themeColor="accent2" w:themeTint="97" w:themeShade="95"/>
      </w:rPr>
    </w:tblStylePr>
    <w:tblStylePr w:type="firstCol">
      <w:rPr>
        <w:b/>
        <w:color w:val="635ECB" w:themeColor="accent2" w:themeTint="97" w:themeShade="95"/>
      </w:rPr>
    </w:tblStylePr>
    <w:tblStylePr w:type="lastCol">
      <w:rPr>
        <w:b/>
        <w:color w:val="635ECB" w:themeColor="accent2" w:themeTint="97" w:themeShade="95"/>
      </w:rPr>
    </w:tblStylePr>
    <w:tblStylePr w:type="band1Vert">
      <w:tblPr/>
      <w:tcPr>
        <w:shd w:val="clear" w:color="CBC9EE" w:themeColor="accent2" w:themeTint="32" w:fill="CBC9EE" w:themeFill="accent2" w:themeFillTint="32"/>
      </w:tcPr>
    </w:tblStylePr>
    <w:tblStylePr w:type="band1Horz">
      <w:rPr>
        <w:rFonts w:ascii="Arial" w:hAnsi="Arial"/>
        <w:color w:val="635ECB" w:themeColor="accent2" w:themeTint="97" w:themeShade="95"/>
        <w:sz w:val="22"/>
      </w:rPr>
      <w:tblPr/>
      <w:tcPr>
        <w:shd w:val="clear" w:color="CBC9EE" w:themeColor="accent2" w:themeTint="32" w:fill="CBC9EE" w:themeFill="accent2" w:themeFillTint="32"/>
      </w:tcPr>
    </w:tblStylePr>
    <w:tblStylePr w:type="band2Horz">
      <w:rPr>
        <w:rFonts w:ascii="Arial" w:hAnsi="Arial"/>
        <w:color w:val="635ECB"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B0CC4E" w:themeColor="accent3" w:themeTint="FE"/>
        <w:left w:val="single" w:sz="4" w:space="0" w:color="B0CC4E" w:themeColor="accent3" w:themeTint="FE"/>
        <w:bottom w:val="single" w:sz="4" w:space="0" w:color="B0CC4E" w:themeColor="accent3" w:themeTint="FE"/>
        <w:right w:val="single" w:sz="4" w:space="0" w:color="B0CC4E" w:themeColor="accent3" w:themeTint="FE"/>
        <w:insideH w:val="single" w:sz="4" w:space="0" w:color="B0CC4E" w:themeColor="accent3" w:themeTint="FE"/>
        <w:insideV w:val="single" w:sz="4" w:space="0" w:color="B0CC4E" w:themeColor="accent3" w:themeTint="FE"/>
      </w:tblBorders>
    </w:tblPr>
    <w:tblStylePr w:type="firstRow">
      <w:rPr>
        <w:b/>
        <w:color w:val="B0CC4E" w:themeColor="accent3" w:themeTint="FE" w:themeShade="95"/>
      </w:rPr>
      <w:tblPr/>
      <w:tcPr>
        <w:tcBorders>
          <w:bottom w:val="single" w:sz="12" w:space="0" w:color="B0CC4E" w:themeColor="accent3" w:themeTint="FE"/>
        </w:tcBorders>
      </w:tcPr>
    </w:tblStylePr>
    <w:tblStylePr w:type="lastRow">
      <w:rPr>
        <w:b/>
        <w:color w:val="B0CC4E" w:themeColor="accent3" w:themeTint="FE" w:themeShade="95"/>
      </w:rPr>
    </w:tblStylePr>
    <w:tblStylePr w:type="firstCol">
      <w:rPr>
        <w:b/>
        <w:color w:val="B0CC4E" w:themeColor="accent3" w:themeTint="FE" w:themeShade="95"/>
      </w:rPr>
    </w:tblStylePr>
    <w:tblStylePr w:type="lastCol">
      <w:rPr>
        <w:b/>
        <w:color w:val="B0CC4E" w:themeColor="accent3" w:themeTint="FE" w:themeShade="95"/>
      </w:rPr>
    </w:tblStylePr>
    <w:tblStylePr w:type="band1Vert">
      <w:tblPr/>
      <w:tcPr>
        <w:shd w:val="clear" w:color="EEF4DA" w:themeColor="accent3" w:themeTint="34" w:fill="EEF4DA" w:themeFill="accent3" w:themeFillTint="34"/>
      </w:tcPr>
    </w:tblStylePr>
    <w:tblStylePr w:type="band1Horz">
      <w:rPr>
        <w:rFonts w:ascii="Arial" w:hAnsi="Arial"/>
        <w:color w:val="B0CC4E" w:themeColor="accent3" w:themeTint="FE" w:themeShade="95"/>
        <w:sz w:val="22"/>
      </w:rPr>
      <w:tblPr/>
      <w:tcPr>
        <w:shd w:val="clear" w:color="EEF4DA" w:themeColor="accent3" w:themeTint="34" w:fill="EEF4DA" w:themeFill="accent3" w:themeFillTint="34"/>
      </w:tcPr>
    </w:tblStylePr>
    <w:tblStylePr w:type="band2Horz">
      <w:rPr>
        <w:rFonts w:ascii="Arial" w:hAnsi="Arial"/>
        <w:color w:val="B0CC4E"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FDF2B0" w:themeColor="accent4" w:themeTint="9A"/>
        <w:left w:val="single" w:sz="4" w:space="0" w:color="FDF2B0" w:themeColor="accent4" w:themeTint="9A"/>
        <w:bottom w:val="single" w:sz="4" w:space="0" w:color="FDF2B0" w:themeColor="accent4" w:themeTint="9A"/>
        <w:right w:val="single" w:sz="4" w:space="0" w:color="FDF2B0" w:themeColor="accent4" w:themeTint="9A"/>
        <w:insideH w:val="single" w:sz="4" w:space="0" w:color="FDF2B0" w:themeColor="accent4" w:themeTint="9A"/>
        <w:insideV w:val="single" w:sz="4" w:space="0" w:color="FDF2B0" w:themeColor="accent4" w:themeTint="9A"/>
      </w:tblBorders>
    </w:tblPr>
    <w:tblStylePr w:type="firstRow">
      <w:rPr>
        <w:b/>
        <w:color w:val="FDF2B0" w:themeColor="accent4" w:themeTint="9A" w:themeShade="95"/>
      </w:rPr>
      <w:tblPr/>
      <w:tcPr>
        <w:tcBorders>
          <w:bottom w:val="single" w:sz="12" w:space="0" w:color="FDF2B0" w:themeColor="accent4" w:themeTint="9A"/>
        </w:tcBorders>
      </w:tcPr>
    </w:tblStylePr>
    <w:tblStylePr w:type="lastRow">
      <w:rPr>
        <w:b/>
        <w:color w:val="FDF2B0" w:themeColor="accent4" w:themeTint="9A" w:themeShade="95"/>
      </w:rPr>
    </w:tblStylePr>
    <w:tblStylePr w:type="firstCol">
      <w:rPr>
        <w:b/>
        <w:color w:val="FDF2B0" w:themeColor="accent4" w:themeTint="9A" w:themeShade="95"/>
      </w:rPr>
    </w:tblStylePr>
    <w:tblStylePr w:type="lastCol">
      <w:rPr>
        <w:b/>
        <w:color w:val="FDF2B0" w:themeColor="accent4" w:themeTint="9A" w:themeShade="95"/>
      </w:rPr>
    </w:tblStylePr>
    <w:tblStylePr w:type="band1Vert">
      <w:tblPr/>
      <w:tcPr>
        <w:shd w:val="clear" w:color="FEFAE4" w:themeColor="accent4" w:themeTint="34" w:fill="FEFAE4" w:themeFill="accent4" w:themeFillTint="34"/>
      </w:tcPr>
    </w:tblStylePr>
    <w:tblStylePr w:type="band1Horz">
      <w:rPr>
        <w:rFonts w:ascii="Arial" w:hAnsi="Arial"/>
        <w:color w:val="FDF2B0" w:themeColor="accent4" w:themeTint="9A" w:themeShade="95"/>
        <w:sz w:val="22"/>
      </w:rPr>
      <w:tblPr/>
      <w:tcPr>
        <w:shd w:val="clear" w:color="FEFAE4" w:themeColor="accent4" w:themeTint="34" w:fill="FEFAE4" w:themeFill="accent4" w:themeFillTint="34"/>
      </w:tcPr>
    </w:tblStylePr>
    <w:tblStylePr w:type="band2Horz">
      <w:rPr>
        <w:rFonts w:ascii="Arial" w:hAnsi="Arial"/>
        <w:color w:val="FDF2B0"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7E97CE" w:themeColor="accent5"/>
        <w:left w:val="single" w:sz="4" w:space="0" w:color="7E97CE" w:themeColor="accent5"/>
        <w:bottom w:val="single" w:sz="4" w:space="0" w:color="7E97CE" w:themeColor="accent5"/>
        <w:right w:val="single" w:sz="4" w:space="0" w:color="7E97CE" w:themeColor="accent5"/>
        <w:insideH w:val="single" w:sz="4" w:space="0" w:color="7E97CE" w:themeColor="accent5"/>
        <w:insideV w:val="single" w:sz="4" w:space="0" w:color="7E97CE" w:themeColor="accent5"/>
      </w:tblBorders>
    </w:tblPr>
    <w:tblStylePr w:type="firstRow">
      <w:rPr>
        <w:b/>
        <w:color w:val="35508C" w:themeColor="accent5" w:themeShade="95"/>
      </w:rPr>
      <w:tblPr/>
      <w:tcPr>
        <w:tcBorders>
          <w:bottom w:val="single" w:sz="12" w:space="0" w:color="7E97CE" w:themeColor="accent5"/>
        </w:tcBorders>
      </w:tcPr>
    </w:tblStylePr>
    <w:tblStylePr w:type="lastRow">
      <w:rPr>
        <w:b/>
        <w:color w:val="35508C" w:themeColor="accent5" w:themeShade="95"/>
      </w:rPr>
    </w:tblStylePr>
    <w:tblStylePr w:type="firstCol">
      <w:rPr>
        <w:b/>
        <w:color w:val="35508C" w:themeColor="accent5" w:themeShade="95"/>
      </w:rPr>
    </w:tblStylePr>
    <w:tblStylePr w:type="lastCol">
      <w:rPr>
        <w:b/>
        <w:color w:val="35508C" w:themeColor="accent5" w:themeShade="95"/>
      </w:rPr>
    </w:tblStylePr>
    <w:tblStylePr w:type="band1Vert">
      <w:tblPr/>
      <w:tcPr>
        <w:shd w:val="clear" w:color="E4E9F5" w:themeColor="accent5" w:themeTint="34" w:fill="E4E9F5" w:themeFill="accent5" w:themeFillTint="34"/>
      </w:tcPr>
    </w:tblStylePr>
    <w:tblStylePr w:type="band1Horz">
      <w:rPr>
        <w:rFonts w:ascii="Arial" w:hAnsi="Arial"/>
        <w:color w:val="35508C" w:themeColor="accent5" w:themeShade="95"/>
        <w:sz w:val="22"/>
      </w:rPr>
      <w:tblPr/>
      <w:tcPr>
        <w:shd w:val="clear" w:color="E4E9F5" w:themeColor="accent5" w:themeTint="34" w:fill="E4E9F5" w:themeFill="accent5" w:themeFillTint="34"/>
      </w:tcPr>
    </w:tblStylePr>
    <w:tblStylePr w:type="band2Horz">
      <w:rPr>
        <w:rFonts w:ascii="Arial" w:hAnsi="Arial"/>
        <w:color w:val="35508C"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60B467" w:themeColor="accent6"/>
        <w:left w:val="single" w:sz="4" w:space="0" w:color="60B467" w:themeColor="accent6"/>
        <w:bottom w:val="single" w:sz="4" w:space="0" w:color="60B467" w:themeColor="accent6"/>
        <w:right w:val="single" w:sz="4" w:space="0" w:color="60B467" w:themeColor="accent6"/>
        <w:insideH w:val="single" w:sz="4" w:space="0" w:color="60B467" w:themeColor="accent6"/>
        <w:insideV w:val="single" w:sz="4" w:space="0" w:color="60B467" w:themeColor="accent6"/>
      </w:tblBorders>
    </w:tblPr>
    <w:tblStylePr w:type="firstRow">
      <w:rPr>
        <w:b/>
        <w:color w:val="35508C" w:themeColor="accent5" w:themeShade="95"/>
      </w:rPr>
      <w:tblPr/>
      <w:tcPr>
        <w:tcBorders>
          <w:bottom w:val="single" w:sz="12" w:space="0" w:color="60B467" w:themeColor="accent6"/>
        </w:tcBorders>
      </w:tcPr>
    </w:tblStylePr>
    <w:tblStylePr w:type="lastRow">
      <w:rPr>
        <w:b/>
        <w:color w:val="35508C" w:themeColor="accent5" w:themeShade="95"/>
      </w:rPr>
    </w:tblStylePr>
    <w:tblStylePr w:type="firstCol">
      <w:rPr>
        <w:b/>
        <w:color w:val="35508C" w:themeColor="accent5" w:themeShade="95"/>
      </w:rPr>
    </w:tblStylePr>
    <w:tblStylePr w:type="lastCol">
      <w:rPr>
        <w:b/>
        <w:color w:val="35508C" w:themeColor="accent5" w:themeShade="95"/>
      </w:rPr>
    </w:tblStylePr>
    <w:tblStylePr w:type="band1Vert">
      <w:tblPr/>
      <w:tcPr>
        <w:shd w:val="clear" w:color="DEEFDF" w:themeColor="accent6" w:themeTint="34" w:fill="DEEFDF" w:themeFill="accent6" w:themeFillTint="34"/>
      </w:tcPr>
    </w:tblStylePr>
    <w:tblStylePr w:type="band1Horz">
      <w:rPr>
        <w:rFonts w:ascii="Arial" w:hAnsi="Arial"/>
        <w:color w:val="35508C" w:themeColor="accent5" w:themeShade="95"/>
        <w:sz w:val="22"/>
      </w:rPr>
      <w:tblPr/>
      <w:tcPr>
        <w:shd w:val="clear" w:color="DEEFDF" w:themeColor="accent6" w:themeTint="34" w:fill="DEEFDF" w:themeFill="accent6" w:themeFillTint="34"/>
      </w:tcPr>
    </w:tblStylePr>
    <w:tblStylePr w:type="band2Horz">
      <w:rPr>
        <w:rFonts w:ascii="Arial" w:hAnsi="Arial"/>
        <w:color w:val="35508C"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F7BAAA" w:themeColor="accent1" w:themeTint="80"/>
        <w:right w:val="single" w:sz="4" w:space="0" w:color="F7BAAA" w:themeColor="accent1" w:themeTint="80"/>
        <w:insideH w:val="single" w:sz="4" w:space="0" w:color="F7BAAA" w:themeColor="accent1" w:themeTint="80"/>
        <w:insideV w:val="single" w:sz="4" w:space="0" w:color="F7BAAA" w:themeColor="accent1" w:themeTint="80"/>
      </w:tblBorders>
    </w:tblPr>
    <w:tblStylePr w:type="firstRow">
      <w:rPr>
        <w:rFonts w:ascii="Arial" w:hAnsi="Arial"/>
        <w:b/>
        <w:color w:val="F7BAAA" w:themeColor="accent1" w:themeTint="80" w:themeShade="95"/>
        <w:sz w:val="22"/>
      </w:rPr>
      <w:tblPr/>
      <w:tcPr>
        <w:tcBorders>
          <w:top w:val="none" w:sz="0" w:space="0" w:color="auto"/>
          <w:left w:val="none" w:sz="0" w:space="0" w:color="auto"/>
          <w:bottom w:val="single" w:sz="4" w:space="0" w:color="F7BAAA" w:themeColor="accent1" w:themeTint="80"/>
          <w:right w:val="none" w:sz="0" w:space="0" w:color="auto"/>
        </w:tcBorders>
        <w:shd w:val="clear" w:color="FFFFFF" w:themeColor="light1" w:fill="FFFFFF" w:themeFill="light1"/>
      </w:tcPr>
    </w:tblStylePr>
    <w:tblStylePr w:type="lastRow">
      <w:rPr>
        <w:rFonts w:ascii="Arial" w:hAnsi="Arial"/>
        <w:b/>
        <w:color w:val="F7BAAA" w:themeColor="accent1" w:themeTint="80" w:themeShade="95"/>
        <w:sz w:val="22"/>
      </w:rPr>
      <w:tblPr/>
      <w:tcPr>
        <w:tcBorders>
          <w:top w:val="single" w:sz="4" w:space="0" w:color="F7BAA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7BAAA" w:themeColor="accent1" w:themeTint="80" w:themeShade="95"/>
        <w:sz w:val="22"/>
      </w:rPr>
      <w:tblPr/>
      <w:tcPr>
        <w:tcBorders>
          <w:top w:val="none" w:sz="0" w:space="0" w:color="auto"/>
          <w:left w:val="none" w:sz="0" w:space="0" w:color="auto"/>
          <w:bottom w:val="none" w:sz="0" w:space="0" w:color="auto"/>
          <w:right w:val="single" w:sz="4" w:space="0" w:color="F7BAAA" w:themeColor="accent1" w:themeTint="80"/>
        </w:tcBorders>
        <w:shd w:val="clear" w:color="FFFFFF" w:fill="auto"/>
      </w:tcPr>
    </w:tblStylePr>
    <w:tblStylePr w:type="lastCol">
      <w:rPr>
        <w:rFonts w:ascii="Arial" w:hAnsi="Arial"/>
        <w:i/>
        <w:color w:val="F7BAAA" w:themeColor="accent1" w:themeTint="80" w:themeShade="95"/>
        <w:sz w:val="22"/>
      </w:rPr>
      <w:tblPr/>
      <w:tcPr>
        <w:tcBorders>
          <w:top w:val="none" w:sz="0" w:space="0" w:color="auto"/>
          <w:left w:val="single" w:sz="4" w:space="0" w:color="F7BAAA" w:themeColor="accent1" w:themeTint="80"/>
          <w:bottom w:val="none" w:sz="0" w:space="0" w:color="auto"/>
          <w:right w:val="none" w:sz="0" w:space="0" w:color="auto"/>
        </w:tcBorders>
        <w:shd w:val="clear" w:color="FFFFFF" w:fill="auto"/>
      </w:tcPr>
    </w:tblStylePr>
    <w:tblStylePr w:type="band1Vert">
      <w:tblPr/>
      <w:tcPr>
        <w:shd w:val="clear" w:color="FBE3DC" w:themeColor="accent1" w:themeTint="34" w:fill="FBE3DC" w:themeFill="accent1" w:themeFillTint="34"/>
      </w:tcPr>
    </w:tblStylePr>
    <w:tblStylePr w:type="band1Horz">
      <w:rPr>
        <w:rFonts w:ascii="Arial" w:hAnsi="Arial"/>
        <w:color w:val="F7BAAA" w:themeColor="accent1" w:themeTint="80" w:themeShade="95"/>
        <w:sz w:val="22"/>
      </w:rPr>
      <w:tblPr/>
      <w:tcPr>
        <w:shd w:val="clear" w:color="FBE3DC" w:themeColor="accent1" w:themeTint="34" w:fill="FBE3DC" w:themeFill="accent1" w:themeFillTint="34"/>
      </w:tcPr>
    </w:tblStylePr>
    <w:tblStylePr w:type="band2Horz">
      <w:rPr>
        <w:rFonts w:ascii="Arial" w:hAnsi="Arial"/>
        <w:color w:val="F7BAAA"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635ECB" w:themeColor="accent2" w:themeTint="97"/>
        <w:right w:val="single" w:sz="4" w:space="0" w:color="635ECB" w:themeColor="accent2" w:themeTint="97"/>
        <w:insideH w:val="single" w:sz="4" w:space="0" w:color="635ECB" w:themeColor="accent2" w:themeTint="97"/>
        <w:insideV w:val="single" w:sz="4" w:space="0" w:color="635ECB" w:themeColor="accent2" w:themeTint="97"/>
      </w:tblBorders>
    </w:tblPr>
    <w:tblStylePr w:type="firstRow">
      <w:rPr>
        <w:rFonts w:ascii="Arial" w:hAnsi="Arial"/>
        <w:b/>
        <w:color w:val="635ECB" w:themeColor="accent2" w:themeTint="97" w:themeShade="95"/>
        <w:sz w:val="22"/>
      </w:rPr>
      <w:tblPr/>
      <w:tcPr>
        <w:tcBorders>
          <w:top w:val="none" w:sz="0" w:space="0" w:color="auto"/>
          <w:left w:val="none" w:sz="0" w:space="0" w:color="auto"/>
          <w:bottom w:val="single" w:sz="4" w:space="0" w:color="635ECB" w:themeColor="accent2" w:themeTint="97"/>
          <w:right w:val="none" w:sz="0" w:space="0" w:color="auto"/>
        </w:tcBorders>
        <w:shd w:val="clear" w:color="FFFFFF" w:themeColor="light1" w:fill="FFFFFF" w:themeFill="light1"/>
      </w:tcPr>
    </w:tblStylePr>
    <w:tblStylePr w:type="lastRow">
      <w:rPr>
        <w:rFonts w:ascii="Arial" w:hAnsi="Arial"/>
        <w:b/>
        <w:color w:val="635ECB" w:themeColor="accent2" w:themeTint="97" w:themeShade="95"/>
        <w:sz w:val="22"/>
      </w:rPr>
      <w:tblPr/>
      <w:tcPr>
        <w:tcBorders>
          <w:top w:val="single" w:sz="4" w:space="0" w:color="635ECB"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35ECB" w:themeColor="accent2" w:themeTint="97" w:themeShade="95"/>
        <w:sz w:val="22"/>
      </w:rPr>
      <w:tblPr/>
      <w:tcPr>
        <w:tcBorders>
          <w:top w:val="none" w:sz="0" w:space="0" w:color="auto"/>
          <w:left w:val="none" w:sz="0" w:space="0" w:color="auto"/>
          <w:bottom w:val="none" w:sz="0" w:space="0" w:color="auto"/>
          <w:right w:val="single" w:sz="4" w:space="0" w:color="635ECB" w:themeColor="accent2" w:themeTint="97"/>
        </w:tcBorders>
        <w:shd w:val="clear" w:color="FFFFFF" w:fill="auto"/>
      </w:tcPr>
    </w:tblStylePr>
    <w:tblStylePr w:type="lastCol">
      <w:rPr>
        <w:rFonts w:ascii="Arial" w:hAnsi="Arial"/>
        <w:i/>
        <w:color w:val="635ECB" w:themeColor="accent2" w:themeTint="97" w:themeShade="95"/>
        <w:sz w:val="22"/>
      </w:rPr>
      <w:tblPr/>
      <w:tcPr>
        <w:tcBorders>
          <w:top w:val="none" w:sz="0" w:space="0" w:color="auto"/>
          <w:left w:val="single" w:sz="4" w:space="0" w:color="635ECB" w:themeColor="accent2" w:themeTint="97"/>
          <w:bottom w:val="none" w:sz="0" w:space="0" w:color="auto"/>
          <w:right w:val="none" w:sz="0" w:space="0" w:color="auto"/>
        </w:tcBorders>
        <w:shd w:val="clear" w:color="FFFFFF" w:fill="auto"/>
      </w:tcPr>
    </w:tblStylePr>
    <w:tblStylePr w:type="band1Vert">
      <w:tblPr/>
      <w:tcPr>
        <w:shd w:val="clear" w:color="CBC9EE" w:themeColor="accent2" w:themeTint="32" w:fill="CBC9EE" w:themeFill="accent2" w:themeFillTint="32"/>
      </w:tcPr>
    </w:tblStylePr>
    <w:tblStylePr w:type="band1Horz">
      <w:rPr>
        <w:rFonts w:ascii="Arial" w:hAnsi="Arial"/>
        <w:color w:val="635ECB" w:themeColor="accent2" w:themeTint="97" w:themeShade="95"/>
        <w:sz w:val="22"/>
      </w:rPr>
      <w:tblPr/>
      <w:tcPr>
        <w:shd w:val="clear" w:color="CBC9EE" w:themeColor="accent2" w:themeTint="32" w:fill="CBC9EE" w:themeFill="accent2" w:themeFillTint="32"/>
      </w:tcPr>
    </w:tblStylePr>
    <w:tblStylePr w:type="band2Horz">
      <w:rPr>
        <w:rFonts w:ascii="Arial" w:hAnsi="Arial"/>
        <w:color w:val="635ECB"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B0CC4E" w:themeColor="accent3" w:themeTint="FE"/>
        <w:right w:val="single" w:sz="4" w:space="0" w:color="B0CC4E" w:themeColor="accent3" w:themeTint="FE"/>
        <w:insideH w:val="single" w:sz="4" w:space="0" w:color="B0CC4E" w:themeColor="accent3" w:themeTint="FE"/>
        <w:insideV w:val="single" w:sz="4" w:space="0" w:color="B0CC4E" w:themeColor="accent3" w:themeTint="FE"/>
      </w:tblBorders>
    </w:tblPr>
    <w:tblStylePr w:type="firstRow">
      <w:rPr>
        <w:rFonts w:ascii="Arial" w:hAnsi="Arial"/>
        <w:b/>
        <w:color w:val="B0CC4E" w:themeColor="accent3" w:themeTint="FE" w:themeShade="95"/>
        <w:sz w:val="22"/>
      </w:rPr>
      <w:tblPr/>
      <w:tcPr>
        <w:tcBorders>
          <w:top w:val="none" w:sz="0" w:space="0" w:color="auto"/>
          <w:left w:val="none" w:sz="0" w:space="0" w:color="auto"/>
          <w:bottom w:val="single" w:sz="4" w:space="0" w:color="B0CC4E" w:themeColor="accent3" w:themeTint="FE"/>
          <w:right w:val="none" w:sz="0" w:space="0" w:color="auto"/>
        </w:tcBorders>
        <w:shd w:val="clear" w:color="FFFFFF" w:themeColor="light1" w:fill="FFFFFF" w:themeFill="light1"/>
      </w:tcPr>
    </w:tblStylePr>
    <w:tblStylePr w:type="lastRow">
      <w:rPr>
        <w:rFonts w:ascii="Arial" w:hAnsi="Arial"/>
        <w:b/>
        <w:color w:val="B0CC4E" w:themeColor="accent3" w:themeTint="FE" w:themeShade="95"/>
        <w:sz w:val="22"/>
      </w:rPr>
      <w:tblPr/>
      <w:tcPr>
        <w:tcBorders>
          <w:top w:val="single" w:sz="4" w:space="0" w:color="B0CC4E"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0CC4E" w:themeColor="accent3" w:themeTint="FE" w:themeShade="95"/>
        <w:sz w:val="22"/>
      </w:rPr>
      <w:tblPr/>
      <w:tcPr>
        <w:tcBorders>
          <w:top w:val="none" w:sz="0" w:space="0" w:color="auto"/>
          <w:left w:val="none" w:sz="0" w:space="0" w:color="auto"/>
          <w:bottom w:val="none" w:sz="0" w:space="0" w:color="auto"/>
          <w:right w:val="single" w:sz="4" w:space="0" w:color="B0CC4E" w:themeColor="accent3" w:themeTint="FE"/>
        </w:tcBorders>
        <w:shd w:val="clear" w:color="FFFFFF" w:fill="auto"/>
      </w:tcPr>
    </w:tblStylePr>
    <w:tblStylePr w:type="lastCol">
      <w:rPr>
        <w:rFonts w:ascii="Arial" w:hAnsi="Arial"/>
        <w:i/>
        <w:color w:val="B0CC4E" w:themeColor="accent3" w:themeTint="FE" w:themeShade="95"/>
        <w:sz w:val="22"/>
      </w:rPr>
      <w:tblPr/>
      <w:tcPr>
        <w:tcBorders>
          <w:top w:val="none" w:sz="0" w:space="0" w:color="auto"/>
          <w:left w:val="single" w:sz="4" w:space="0" w:color="B0CC4E" w:themeColor="accent3" w:themeTint="FE"/>
          <w:bottom w:val="none" w:sz="0" w:space="0" w:color="auto"/>
          <w:right w:val="none" w:sz="0" w:space="0" w:color="auto"/>
        </w:tcBorders>
        <w:shd w:val="clear" w:color="FFFFFF" w:fill="auto"/>
      </w:tcPr>
    </w:tblStylePr>
    <w:tblStylePr w:type="band1Vert">
      <w:tblPr/>
      <w:tcPr>
        <w:shd w:val="clear" w:color="EEF4DA" w:themeColor="accent3" w:themeTint="34" w:fill="EEF4DA" w:themeFill="accent3" w:themeFillTint="34"/>
      </w:tcPr>
    </w:tblStylePr>
    <w:tblStylePr w:type="band1Horz">
      <w:rPr>
        <w:rFonts w:ascii="Arial" w:hAnsi="Arial"/>
        <w:color w:val="B0CC4E" w:themeColor="accent3" w:themeTint="FE" w:themeShade="95"/>
        <w:sz w:val="22"/>
      </w:rPr>
      <w:tblPr/>
      <w:tcPr>
        <w:shd w:val="clear" w:color="EEF4DA" w:themeColor="accent3" w:themeTint="34" w:fill="EEF4DA" w:themeFill="accent3" w:themeFillTint="34"/>
      </w:tcPr>
    </w:tblStylePr>
    <w:tblStylePr w:type="band2Horz">
      <w:rPr>
        <w:rFonts w:ascii="Arial" w:hAnsi="Arial"/>
        <w:color w:val="B0CC4E"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FDF2B0" w:themeColor="accent4" w:themeTint="9A"/>
        <w:right w:val="single" w:sz="4" w:space="0" w:color="FDF2B0" w:themeColor="accent4" w:themeTint="9A"/>
        <w:insideH w:val="single" w:sz="4" w:space="0" w:color="FDF2B0" w:themeColor="accent4" w:themeTint="9A"/>
        <w:insideV w:val="single" w:sz="4" w:space="0" w:color="FDF2B0" w:themeColor="accent4" w:themeTint="9A"/>
      </w:tblBorders>
    </w:tblPr>
    <w:tblStylePr w:type="firstRow">
      <w:rPr>
        <w:rFonts w:ascii="Arial" w:hAnsi="Arial"/>
        <w:b/>
        <w:color w:val="FDF2B0" w:themeColor="accent4" w:themeTint="9A" w:themeShade="95"/>
        <w:sz w:val="22"/>
      </w:rPr>
      <w:tblPr/>
      <w:tcPr>
        <w:tcBorders>
          <w:top w:val="none" w:sz="0" w:space="0" w:color="auto"/>
          <w:left w:val="none" w:sz="0" w:space="0" w:color="auto"/>
          <w:bottom w:val="single" w:sz="4" w:space="0" w:color="FDF2B0" w:themeColor="accent4" w:themeTint="9A"/>
          <w:right w:val="none" w:sz="0" w:space="0" w:color="auto"/>
        </w:tcBorders>
        <w:shd w:val="clear" w:color="FFFFFF" w:themeColor="light1" w:fill="FFFFFF" w:themeFill="light1"/>
      </w:tcPr>
    </w:tblStylePr>
    <w:tblStylePr w:type="lastRow">
      <w:rPr>
        <w:rFonts w:ascii="Arial" w:hAnsi="Arial"/>
        <w:b/>
        <w:color w:val="FDF2B0" w:themeColor="accent4" w:themeTint="9A" w:themeShade="95"/>
        <w:sz w:val="22"/>
      </w:rPr>
      <w:tblPr/>
      <w:tcPr>
        <w:tcBorders>
          <w:top w:val="single" w:sz="4" w:space="0" w:color="FDF2B0"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DF2B0" w:themeColor="accent4" w:themeTint="9A" w:themeShade="95"/>
        <w:sz w:val="22"/>
      </w:rPr>
      <w:tblPr/>
      <w:tcPr>
        <w:tcBorders>
          <w:top w:val="none" w:sz="0" w:space="0" w:color="auto"/>
          <w:left w:val="none" w:sz="0" w:space="0" w:color="auto"/>
          <w:bottom w:val="none" w:sz="0" w:space="0" w:color="auto"/>
          <w:right w:val="single" w:sz="4" w:space="0" w:color="FDF2B0" w:themeColor="accent4" w:themeTint="9A"/>
        </w:tcBorders>
        <w:shd w:val="clear" w:color="FFFFFF" w:fill="auto"/>
      </w:tcPr>
    </w:tblStylePr>
    <w:tblStylePr w:type="lastCol">
      <w:rPr>
        <w:rFonts w:ascii="Arial" w:hAnsi="Arial"/>
        <w:i/>
        <w:color w:val="FDF2B0" w:themeColor="accent4" w:themeTint="9A" w:themeShade="95"/>
        <w:sz w:val="22"/>
      </w:rPr>
      <w:tblPr/>
      <w:tcPr>
        <w:tcBorders>
          <w:top w:val="none" w:sz="0" w:space="0" w:color="auto"/>
          <w:left w:val="single" w:sz="4" w:space="0" w:color="FDF2B0" w:themeColor="accent4" w:themeTint="9A"/>
          <w:bottom w:val="none" w:sz="0" w:space="0" w:color="auto"/>
          <w:right w:val="none" w:sz="0" w:space="0" w:color="auto"/>
        </w:tcBorders>
        <w:shd w:val="clear" w:color="FFFFFF" w:fill="auto"/>
      </w:tcPr>
    </w:tblStylePr>
    <w:tblStylePr w:type="band1Vert">
      <w:tblPr/>
      <w:tcPr>
        <w:shd w:val="clear" w:color="FEFAE4" w:themeColor="accent4" w:themeTint="34" w:fill="FEFAE4" w:themeFill="accent4" w:themeFillTint="34"/>
      </w:tcPr>
    </w:tblStylePr>
    <w:tblStylePr w:type="band1Horz">
      <w:rPr>
        <w:rFonts w:ascii="Arial" w:hAnsi="Arial"/>
        <w:color w:val="FDF2B0" w:themeColor="accent4" w:themeTint="9A" w:themeShade="95"/>
        <w:sz w:val="22"/>
      </w:rPr>
      <w:tblPr/>
      <w:tcPr>
        <w:shd w:val="clear" w:color="FEFAE4" w:themeColor="accent4" w:themeTint="34" w:fill="FEFAE4" w:themeFill="accent4" w:themeFillTint="34"/>
      </w:tcPr>
    </w:tblStylePr>
    <w:tblStylePr w:type="band2Horz">
      <w:rPr>
        <w:rFonts w:ascii="Arial" w:hAnsi="Arial"/>
        <w:color w:val="FDF2B0"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B6C4E3" w:themeColor="accent5" w:themeTint="90"/>
        <w:right w:val="single" w:sz="4" w:space="0" w:color="B6C4E3" w:themeColor="accent5" w:themeTint="90"/>
        <w:insideH w:val="single" w:sz="4" w:space="0" w:color="B6C4E3" w:themeColor="accent5" w:themeTint="90"/>
        <w:insideV w:val="single" w:sz="4" w:space="0" w:color="B6C4E3" w:themeColor="accent5" w:themeTint="90"/>
      </w:tblBorders>
    </w:tblPr>
    <w:tblStylePr w:type="firstRow">
      <w:rPr>
        <w:rFonts w:ascii="Arial" w:hAnsi="Arial"/>
        <w:b/>
        <w:color w:val="35508C" w:themeColor="accent5" w:themeShade="95"/>
        <w:sz w:val="22"/>
      </w:rPr>
      <w:tblPr/>
      <w:tcPr>
        <w:tcBorders>
          <w:top w:val="none" w:sz="0" w:space="0" w:color="auto"/>
          <w:left w:val="none" w:sz="0" w:space="0" w:color="auto"/>
          <w:bottom w:val="single" w:sz="4" w:space="0" w:color="B6C4E3" w:themeColor="accent5" w:themeTint="90"/>
          <w:right w:val="none" w:sz="0" w:space="0" w:color="auto"/>
        </w:tcBorders>
        <w:shd w:val="clear" w:color="FFFFFF" w:themeColor="light1" w:fill="FFFFFF" w:themeFill="light1"/>
      </w:tcPr>
    </w:tblStylePr>
    <w:tblStylePr w:type="lastRow">
      <w:rPr>
        <w:rFonts w:ascii="Arial" w:hAnsi="Arial"/>
        <w:b/>
        <w:color w:val="35508C" w:themeColor="accent5" w:themeShade="95"/>
        <w:sz w:val="22"/>
      </w:rPr>
      <w:tblPr/>
      <w:tcPr>
        <w:tcBorders>
          <w:top w:val="single" w:sz="4" w:space="0" w:color="B6C4E3"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35508C" w:themeColor="accent5" w:themeShade="95"/>
        <w:sz w:val="22"/>
      </w:rPr>
      <w:tblPr/>
      <w:tcPr>
        <w:tcBorders>
          <w:top w:val="none" w:sz="0" w:space="0" w:color="auto"/>
          <w:left w:val="none" w:sz="0" w:space="0" w:color="auto"/>
          <w:bottom w:val="none" w:sz="0" w:space="0" w:color="auto"/>
          <w:right w:val="single" w:sz="4" w:space="0" w:color="B6C4E3" w:themeColor="accent5" w:themeTint="90"/>
        </w:tcBorders>
        <w:shd w:val="clear" w:color="FFFFFF" w:fill="auto"/>
      </w:tcPr>
    </w:tblStylePr>
    <w:tblStylePr w:type="lastCol">
      <w:rPr>
        <w:rFonts w:ascii="Arial" w:hAnsi="Arial"/>
        <w:i/>
        <w:color w:val="35508C" w:themeColor="accent5" w:themeShade="95"/>
        <w:sz w:val="22"/>
      </w:rPr>
      <w:tblPr/>
      <w:tcPr>
        <w:tcBorders>
          <w:top w:val="none" w:sz="0" w:space="0" w:color="auto"/>
          <w:left w:val="single" w:sz="4" w:space="0" w:color="B6C4E3" w:themeColor="accent5" w:themeTint="90"/>
          <w:bottom w:val="none" w:sz="0" w:space="0" w:color="auto"/>
          <w:right w:val="none" w:sz="0" w:space="0" w:color="auto"/>
        </w:tcBorders>
        <w:shd w:val="clear" w:color="FFFFFF" w:fill="auto"/>
      </w:tcPr>
    </w:tblStylePr>
    <w:tblStylePr w:type="band1Vert">
      <w:tblPr/>
      <w:tcPr>
        <w:shd w:val="clear" w:color="E4E9F5" w:themeColor="accent5" w:themeTint="34" w:fill="E4E9F5" w:themeFill="accent5" w:themeFillTint="34"/>
      </w:tcPr>
    </w:tblStylePr>
    <w:tblStylePr w:type="band1Horz">
      <w:rPr>
        <w:rFonts w:ascii="Arial" w:hAnsi="Arial"/>
        <w:color w:val="35508C" w:themeColor="accent5" w:themeShade="95"/>
        <w:sz w:val="22"/>
      </w:rPr>
      <w:tblPr/>
      <w:tcPr>
        <w:shd w:val="clear" w:color="E4E9F5" w:themeColor="accent5" w:themeTint="34" w:fill="E4E9F5" w:themeFill="accent5" w:themeFillTint="34"/>
      </w:tcPr>
    </w:tblStylePr>
    <w:tblStylePr w:type="band2Horz">
      <w:rPr>
        <w:rFonts w:ascii="Arial" w:hAnsi="Arial"/>
        <w:color w:val="35508C"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A5D4A8" w:themeColor="accent6" w:themeTint="90"/>
        <w:right w:val="single" w:sz="4" w:space="0" w:color="A5D4A8" w:themeColor="accent6" w:themeTint="90"/>
        <w:insideH w:val="single" w:sz="4" w:space="0" w:color="A5D4A8" w:themeColor="accent6" w:themeTint="90"/>
        <w:insideV w:val="single" w:sz="4" w:space="0" w:color="A5D4A8" w:themeColor="accent6" w:themeTint="90"/>
      </w:tblBorders>
    </w:tblPr>
    <w:tblStylePr w:type="firstRow">
      <w:rPr>
        <w:rFonts w:ascii="Arial" w:hAnsi="Arial"/>
        <w:b/>
        <w:color w:val="336D38" w:themeColor="accent6" w:themeShade="95"/>
        <w:sz w:val="22"/>
      </w:rPr>
      <w:tblPr/>
      <w:tcPr>
        <w:tcBorders>
          <w:top w:val="none" w:sz="0" w:space="0" w:color="auto"/>
          <w:left w:val="none" w:sz="0" w:space="0" w:color="auto"/>
          <w:bottom w:val="single" w:sz="4" w:space="0" w:color="A5D4A8" w:themeColor="accent6" w:themeTint="90"/>
          <w:right w:val="none" w:sz="0" w:space="0" w:color="auto"/>
        </w:tcBorders>
        <w:shd w:val="clear" w:color="FFFFFF" w:themeColor="light1" w:fill="FFFFFF" w:themeFill="light1"/>
      </w:tcPr>
    </w:tblStylePr>
    <w:tblStylePr w:type="lastRow">
      <w:rPr>
        <w:rFonts w:ascii="Arial" w:hAnsi="Arial"/>
        <w:b/>
        <w:color w:val="336D38" w:themeColor="accent6" w:themeShade="95"/>
        <w:sz w:val="22"/>
      </w:rPr>
      <w:tblPr/>
      <w:tcPr>
        <w:tcBorders>
          <w:top w:val="single" w:sz="4" w:space="0" w:color="A5D4A8"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336D38" w:themeColor="accent6" w:themeShade="95"/>
        <w:sz w:val="22"/>
      </w:rPr>
      <w:tblPr/>
      <w:tcPr>
        <w:tcBorders>
          <w:top w:val="none" w:sz="0" w:space="0" w:color="auto"/>
          <w:left w:val="none" w:sz="0" w:space="0" w:color="auto"/>
          <w:bottom w:val="none" w:sz="0" w:space="0" w:color="auto"/>
          <w:right w:val="single" w:sz="4" w:space="0" w:color="A5D4A8" w:themeColor="accent6" w:themeTint="90"/>
        </w:tcBorders>
        <w:shd w:val="clear" w:color="FFFFFF" w:fill="auto"/>
      </w:tcPr>
    </w:tblStylePr>
    <w:tblStylePr w:type="lastCol">
      <w:rPr>
        <w:rFonts w:ascii="Arial" w:hAnsi="Arial"/>
        <w:i/>
        <w:color w:val="336D38" w:themeColor="accent6" w:themeShade="95"/>
        <w:sz w:val="22"/>
      </w:rPr>
      <w:tblPr/>
      <w:tcPr>
        <w:tcBorders>
          <w:top w:val="none" w:sz="0" w:space="0" w:color="auto"/>
          <w:left w:val="single" w:sz="4" w:space="0" w:color="A5D4A8" w:themeColor="accent6" w:themeTint="90"/>
          <w:bottom w:val="none" w:sz="0" w:space="0" w:color="auto"/>
          <w:right w:val="none" w:sz="0" w:space="0" w:color="auto"/>
        </w:tcBorders>
        <w:shd w:val="clear" w:color="FFFFFF" w:fill="auto"/>
      </w:tcPr>
    </w:tblStylePr>
    <w:tblStylePr w:type="band1Vert">
      <w:tblPr/>
      <w:tcPr>
        <w:shd w:val="clear" w:color="DEEFDF" w:themeColor="accent6" w:themeTint="34" w:fill="DEEFDF" w:themeFill="accent6" w:themeFillTint="34"/>
      </w:tcPr>
    </w:tblStylePr>
    <w:tblStylePr w:type="band1Horz">
      <w:rPr>
        <w:rFonts w:ascii="Arial" w:hAnsi="Arial"/>
        <w:color w:val="336D38" w:themeColor="accent6" w:themeShade="95"/>
        <w:sz w:val="22"/>
      </w:rPr>
      <w:tblPr/>
      <w:tcPr>
        <w:shd w:val="clear" w:color="DEEFDF" w:themeColor="accent6" w:themeTint="34" w:fill="DEEFDF" w:themeFill="accent6" w:themeFillTint="34"/>
      </w:tcPr>
    </w:tblStylePr>
    <w:tblStylePr w:type="band2Horz">
      <w:rPr>
        <w:rFonts w:ascii="Arial" w:hAnsi="Arial"/>
        <w:color w:val="336D38"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F7757" w:themeColor="accent1"/>
          <w:right w:val="none" w:sz="4" w:space="0" w:color="000000"/>
        </w:tcBorders>
      </w:tcPr>
    </w:tblStylePr>
    <w:tblStylePr w:type="lastRow">
      <w:rPr>
        <w:b/>
        <w:color w:val="404040"/>
      </w:rPr>
      <w:tblPr/>
      <w:tcPr>
        <w:tcBorders>
          <w:top w:val="single" w:sz="4" w:space="0" w:color="EF7757"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BDCD4" w:themeColor="accent1" w:themeTint="40" w:fill="FBDCD4" w:themeFill="accent1" w:themeFillTint="40"/>
      </w:tcPr>
    </w:tblStylePr>
    <w:tblStylePr w:type="band1Horz">
      <w:tblPr/>
      <w:tcPr>
        <w:shd w:val="clear" w:color="FBDCD4" w:themeColor="accent1" w:themeTint="40" w:fill="FBDCD4"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292574" w:themeColor="accent2"/>
          <w:right w:val="none" w:sz="4" w:space="0" w:color="000000"/>
        </w:tcBorders>
      </w:tcPr>
    </w:tblStylePr>
    <w:tblStylePr w:type="lastRow">
      <w:rPr>
        <w:b/>
        <w:color w:val="404040"/>
      </w:rPr>
      <w:tblPr/>
      <w:tcPr>
        <w:tcBorders>
          <w:top w:val="single" w:sz="4" w:space="0" w:color="292574"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DBBE9" w:themeColor="accent2" w:themeTint="40" w:fill="BDBBE9" w:themeFill="accent2" w:themeFillTint="40"/>
      </w:tcPr>
    </w:tblStylePr>
    <w:tblStylePr w:type="band1Horz">
      <w:tblPr/>
      <w:tcPr>
        <w:shd w:val="clear" w:color="BDBBE9" w:themeColor="accent2" w:themeTint="40" w:fill="BDBBE9"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B0CC4E" w:themeColor="accent3"/>
          <w:right w:val="none" w:sz="4" w:space="0" w:color="000000"/>
        </w:tcBorders>
      </w:tcPr>
    </w:tblStylePr>
    <w:tblStylePr w:type="lastRow">
      <w:rPr>
        <w:b/>
        <w:color w:val="404040"/>
      </w:rPr>
      <w:tblPr/>
      <w:tcPr>
        <w:tcBorders>
          <w:top w:val="single" w:sz="4" w:space="0" w:color="B0CC4E"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BF2D2" w:themeColor="accent3" w:themeTint="40" w:fill="EBF2D2" w:themeFill="accent3" w:themeFillTint="40"/>
      </w:tcPr>
    </w:tblStylePr>
    <w:tblStylePr w:type="band1Horz">
      <w:tblPr/>
      <w:tcPr>
        <w:shd w:val="clear" w:color="EBF2D2" w:themeColor="accent3" w:themeTint="40" w:fill="EBF2D2"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DEB7D" w:themeColor="accent4"/>
          <w:right w:val="none" w:sz="4" w:space="0" w:color="000000"/>
        </w:tcBorders>
      </w:tcPr>
    </w:tblStylePr>
    <w:tblStylePr w:type="lastRow">
      <w:rPr>
        <w:b/>
        <w:color w:val="404040"/>
      </w:rPr>
      <w:tblPr/>
      <w:tcPr>
        <w:tcBorders>
          <w:top w:val="single" w:sz="4" w:space="0" w:color="FDEB7D"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EF9DE" w:themeColor="accent4" w:themeTint="40" w:fill="FEF9DE" w:themeFill="accent4" w:themeFillTint="40"/>
      </w:tcPr>
    </w:tblStylePr>
    <w:tblStylePr w:type="band1Horz">
      <w:tblPr/>
      <w:tcPr>
        <w:shd w:val="clear" w:color="FEF9DE" w:themeColor="accent4" w:themeTint="40" w:fill="FEF9DE"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E97CE" w:themeColor="accent5"/>
          <w:right w:val="none" w:sz="4" w:space="0" w:color="000000"/>
        </w:tcBorders>
      </w:tcPr>
    </w:tblStylePr>
    <w:tblStylePr w:type="lastRow">
      <w:rPr>
        <w:b/>
        <w:color w:val="404040"/>
      </w:rPr>
      <w:tblPr/>
      <w:tcPr>
        <w:tcBorders>
          <w:top w:val="single" w:sz="4" w:space="0" w:color="7E97CE"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EE4F2" w:themeColor="accent5" w:themeTint="40" w:fill="DEE4F2" w:themeFill="accent5" w:themeFillTint="40"/>
      </w:tcPr>
    </w:tblStylePr>
    <w:tblStylePr w:type="band1Horz">
      <w:tblPr/>
      <w:tcPr>
        <w:shd w:val="clear" w:color="DEE4F2" w:themeColor="accent5" w:themeTint="40" w:fill="DEE4F2"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60B467" w:themeColor="accent6"/>
          <w:right w:val="none" w:sz="4" w:space="0" w:color="000000"/>
        </w:tcBorders>
      </w:tcPr>
    </w:tblStylePr>
    <w:tblStylePr w:type="lastRow">
      <w:rPr>
        <w:b/>
        <w:color w:val="404040"/>
      </w:rPr>
      <w:tblPr/>
      <w:tcPr>
        <w:tcBorders>
          <w:top w:val="single" w:sz="4" w:space="0" w:color="60B46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6ECD8" w:themeColor="accent6" w:themeTint="40" w:fill="D6ECD8" w:themeFill="accent6" w:themeFillTint="40"/>
      </w:tcPr>
    </w:tblStylePr>
    <w:tblStylePr w:type="band1Horz">
      <w:tblPr/>
      <w:tcPr>
        <w:shd w:val="clear" w:color="D6ECD8" w:themeColor="accent6" w:themeTint="40" w:fill="D6ECD8"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F6B1A0" w:themeColor="accent1" w:themeTint="90"/>
        <w:bottom w:val="single" w:sz="4" w:space="0" w:color="F6B1A0" w:themeColor="accent1" w:themeTint="90"/>
        <w:insideH w:val="single" w:sz="4" w:space="0" w:color="F6B1A0" w:themeColor="accent1" w:themeTint="90"/>
      </w:tblBorders>
    </w:tblPr>
    <w:tblStylePr w:type="firstRow">
      <w:rPr>
        <w:rFonts w:ascii="Arial" w:hAnsi="Arial"/>
        <w:b/>
        <w:color w:val="404040"/>
        <w:sz w:val="22"/>
      </w:rPr>
      <w:tblPr/>
      <w:tcPr>
        <w:tcBorders>
          <w:top w:val="single" w:sz="4" w:space="0" w:color="F6B1A0" w:themeColor="accent1" w:themeTint="90"/>
          <w:left w:val="none" w:sz="4" w:space="0" w:color="000000"/>
          <w:bottom w:val="single" w:sz="4" w:space="0" w:color="F6B1A0" w:themeColor="accent1" w:themeTint="90"/>
          <w:right w:val="none" w:sz="4" w:space="0" w:color="000000"/>
        </w:tcBorders>
      </w:tcPr>
    </w:tblStylePr>
    <w:tblStylePr w:type="lastRow">
      <w:rPr>
        <w:rFonts w:ascii="Arial" w:hAnsi="Arial"/>
        <w:b/>
        <w:color w:val="404040"/>
        <w:sz w:val="22"/>
      </w:rPr>
      <w:tblPr/>
      <w:tcPr>
        <w:tcBorders>
          <w:top w:val="single" w:sz="4" w:space="0" w:color="F6B1A0" w:themeColor="accent1" w:themeTint="90"/>
          <w:left w:val="none" w:sz="4" w:space="0" w:color="000000"/>
          <w:bottom w:val="single" w:sz="4" w:space="0" w:color="F6B1A0"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BDCD4" w:themeColor="accent1" w:themeTint="40" w:fill="FBDCD4" w:themeFill="accent1" w:themeFillTint="40"/>
      </w:tcPr>
    </w:tblStylePr>
    <w:tblStylePr w:type="band1Horz">
      <w:rPr>
        <w:rFonts w:ascii="Arial" w:hAnsi="Arial"/>
        <w:color w:val="404040"/>
        <w:sz w:val="22"/>
      </w:rPr>
      <w:tblPr/>
      <w:tcPr>
        <w:shd w:val="clear" w:color="FBDCD4" w:themeColor="accent1" w:themeTint="40" w:fill="FBDCD4"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6A66CE" w:themeColor="accent2" w:themeTint="90"/>
        <w:bottom w:val="single" w:sz="4" w:space="0" w:color="6A66CE" w:themeColor="accent2" w:themeTint="90"/>
        <w:insideH w:val="single" w:sz="4" w:space="0" w:color="6A66CE" w:themeColor="accent2" w:themeTint="90"/>
      </w:tblBorders>
    </w:tblPr>
    <w:tblStylePr w:type="firstRow">
      <w:rPr>
        <w:rFonts w:ascii="Arial" w:hAnsi="Arial"/>
        <w:b/>
        <w:color w:val="404040"/>
        <w:sz w:val="22"/>
      </w:rPr>
      <w:tblPr/>
      <w:tcPr>
        <w:tcBorders>
          <w:top w:val="single" w:sz="4" w:space="0" w:color="6A66CE" w:themeColor="accent2" w:themeTint="90"/>
          <w:left w:val="none" w:sz="4" w:space="0" w:color="000000"/>
          <w:bottom w:val="single" w:sz="4" w:space="0" w:color="6A66CE" w:themeColor="accent2" w:themeTint="90"/>
          <w:right w:val="none" w:sz="4" w:space="0" w:color="000000"/>
        </w:tcBorders>
      </w:tcPr>
    </w:tblStylePr>
    <w:tblStylePr w:type="lastRow">
      <w:rPr>
        <w:rFonts w:ascii="Arial" w:hAnsi="Arial"/>
        <w:b/>
        <w:color w:val="404040"/>
        <w:sz w:val="22"/>
      </w:rPr>
      <w:tblPr/>
      <w:tcPr>
        <w:tcBorders>
          <w:top w:val="single" w:sz="4" w:space="0" w:color="6A66CE" w:themeColor="accent2" w:themeTint="90"/>
          <w:left w:val="none" w:sz="4" w:space="0" w:color="000000"/>
          <w:bottom w:val="single" w:sz="4" w:space="0" w:color="6A66CE"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DBBE9" w:themeColor="accent2" w:themeTint="40" w:fill="BDBBE9" w:themeFill="accent2" w:themeFillTint="40"/>
      </w:tcPr>
    </w:tblStylePr>
    <w:tblStylePr w:type="band1Horz">
      <w:rPr>
        <w:rFonts w:ascii="Arial" w:hAnsi="Arial"/>
        <w:color w:val="404040"/>
        <w:sz w:val="22"/>
      </w:rPr>
      <w:tblPr/>
      <w:tcPr>
        <w:shd w:val="clear" w:color="BDBBE9" w:themeColor="accent2" w:themeTint="40" w:fill="BDBBE9"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D2E29A" w:themeColor="accent3" w:themeTint="90"/>
        <w:bottom w:val="single" w:sz="4" w:space="0" w:color="D2E29A" w:themeColor="accent3" w:themeTint="90"/>
        <w:insideH w:val="single" w:sz="4" w:space="0" w:color="D2E29A" w:themeColor="accent3" w:themeTint="90"/>
      </w:tblBorders>
    </w:tblPr>
    <w:tblStylePr w:type="firstRow">
      <w:rPr>
        <w:rFonts w:ascii="Arial" w:hAnsi="Arial"/>
        <w:b/>
        <w:color w:val="404040"/>
        <w:sz w:val="22"/>
      </w:rPr>
      <w:tblPr/>
      <w:tcPr>
        <w:tcBorders>
          <w:top w:val="single" w:sz="4" w:space="0" w:color="D2E29A" w:themeColor="accent3" w:themeTint="90"/>
          <w:left w:val="none" w:sz="4" w:space="0" w:color="000000"/>
          <w:bottom w:val="single" w:sz="4" w:space="0" w:color="D2E29A" w:themeColor="accent3" w:themeTint="90"/>
          <w:right w:val="none" w:sz="4" w:space="0" w:color="000000"/>
        </w:tcBorders>
      </w:tcPr>
    </w:tblStylePr>
    <w:tblStylePr w:type="lastRow">
      <w:rPr>
        <w:rFonts w:ascii="Arial" w:hAnsi="Arial"/>
        <w:b/>
        <w:color w:val="404040"/>
        <w:sz w:val="22"/>
      </w:rPr>
      <w:tblPr/>
      <w:tcPr>
        <w:tcBorders>
          <w:top w:val="single" w:sz="4" w:space="0" w:color="D2E29A" w:themeColor="accent3" w:themeTint="90"/>
          <w:left w:val="none" w:sz="4" w:space="0" w:color="000000"/>
          <w:bottom w:val="single" w:sz="4" w:space="0" w:color="D2E29A"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BF2D2" w:themeColor="accent3" w:themeTint="40" w:fill="EBF2D2" w:themeFill="accent3" w:themeFillTint="40"/>
      </w:tcPr>
    </w:tblStylePr>
    <w:tblStylePr w:type="band1Horz">
      <w:rPr>
        <w:rFonts w:ascii="Arial" w:hAnsi="Arial"/>
        <w:color w:val="404040"/>
        <w:sz w:val="22"/>
      </w:rPr>
      <w:tblPr/>
      <w:tcPr>
        <w:shd w:val="clear" w:color="EBF2D2" w:themeColor="accent3" w:themeTint="40" w:fill="EBF2D2"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FEF3B5" w:themeColor="accent4" w:themeTint="90"/>
        <w:bottom w:val="single" w:sz="4" w:space="0" w:color="FEF3B5" w:themeColor="accent4" w:themeTint="90"/>
        <w:insideH w:val="single" w:sz="4" w:space="0" w:color="FEF3B5" w:themeColor="accent4" w:themeTint="90"/>
      </w:tblBorders>
    </w:tblPr>
    <w:tblStylePr w:type="firstRow">
      <w:rPr>
        <w:rFonts w:ascii="Arial" w:hAnsi="Arial"/>
        <w:b/>
        <w:color w:val="404040"/>
        <w:sz w:val="22"/>
      </w:rPr>
      <w:tblPr/>
      <w:tcPr>
        <w:tcBorders>
          <w:top w:val="single" w:sz="4" w:space="0" w:color="FEF3B5" w:themeColor="accent4" w:themeTint="90"/>
          <w:left w:val="none" w:sz="4" w:space="0" w:color="000000"/>
          <w:bottom w:val="single" w:sz="4" w:space="0" w:color="FEF3B5" w:themeColor="accent4" w:themeTint="90"/>
          <w:right w:val="none" w:sz="4" w:space="0" w:color="000000"/>
        </w:tcBorders>
      </w:tcPr>
    </w:tblStylePr>
    <w:tblStylePr w:type="lastRow">
      <w:rPr>
        <w:rFonts w:ascii="Arial" w:hAnsi="Arial"/>
        <w:b/>
        <w:color w:val="404040"/>
        <w:sz w:val="22"/>
      </w:rPr>
      <w:tblPr/>
      <w:tcPr>
        <w:tcBorders>
          <w:top w:val="single" w:sz="4" w:space="0" w:color="FEF3B5" w:themeColor="accent4" w:themeTint="90"/>
          <w:left w:val="none" w:sz="4" w:space="0" w:color="000000"/>
          <w:bottom w:val="single" w:sz="4" w:space="0" w:color="FEF3B5"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EF9DE" w:themeColor="accent4" w:themeTint="40" w:fill="FEF9DE" w:themeFill="accent4" w:themeFillTint="40"/>
      </w:tcPr>
    </w:tblStylePr>
    <w:tblStylePr w:type="band1Horz">
      <w:rPr>
        <w:rFonts w:ascii="Arial" w:hAnsi="Arial"/>
        <w:color w:val="404040"/>
        <w:sz w:val="22"/>
      </w:rPr>
      <w:tblPr/>
      <w:tcPr>
        <w:shd w:val="clear" w:color="FEF9DE" w:themeColor="accent4" w:themeTint="40" w:fill="FEF9DE"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B6C4E3" w:themeColor="accent5" w:themeTint="90"/>
        <w:bottom w:val="single" w:sz="4" w:space="0" w:color="B6C4E3" w:themeColor="accent5" w:themeTint="90"/>
        <w:insideH w:val="single" w:sz="4" w:space="0" w:color="B6C4E3" w:themeColor="accent5" w:themeTint="90"/>
      </w:tblBorders>
    </w:tblPr>
    <w:tblStylePr w:type="firstRow">
      <w:rPr>
        <w:rFonts w:ascii="Arial" w:hAnsi="Arial"/>
        <w:b/>
        <w:color w:val="404040"/>
        <w:sz w:val="22"/>
      </w:rPr>
      <w:tblPr/>
      <w:tcPr>
        <w:tcBorders>
          <w:top w:val="single" w:sz="4" w:space="0" w:color="B6C4E3" w:themeColor="accent5" w:themeTint="90"/>
          <w:left w:val="none" w:sz="4" w:space="0" w:color="000000"/>
          <w:bottom w:val="single" w:sz="4" w:space="0" w:color="B6C4E3" w:themeColor="accent5" w:themeTint="90"/>
          <w:right w:val="none" w:sz="4" w:space="0" w:color="000000"/>
        </w:tcBorders>
      </w:tcPr>
    </w:tblStylePr>
    <w:tblStylePr w:type="lastRow">
      <w:rPr>
        <w:rFonts w:ascii="Arial" w:hAnsi="Arial"/>
        <w:b/>
        <w:color w:val="404040"/>
        <w:sz w:val="22"/>
      </w:rPr>
      <w:tblPr/>
      <w:tcPr>
        <w:tcBorders>
          <w:top w:val="single" w:sz="4" w:space="0" w:color="B6C4E3" w:themeColor="accent5" w:themeTint="90"/>
          <w:left w:val="none" w:sz="4" w:space="0" w:color="000000"/>
          <w:bottom w:val="single" w:sz="4" w:space="0" w:color="B6C4E3"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EE4F2" w:themeColor="accent5" w:themeTint="40" w:fill="DEE4F2" w:themeFill="accent5" w:themeFillTint="40"/>
      </w:tcPr>
    </w:tblStylePr>
    <w:tblStylePr w:type="band1Horz">
      <w:rPr>
        <w:rFonts w:ascii="Arial" w:hAnsi="Arial"/>
        <w:color w:val="404040"/>
        <w:sz w:val="22"/>
      </w:rPr>
      <w:tblPr/>
      <w:tcPr>
        <w:shd w:val="clear" w:color="DEE4F2" w:themeColor="accent5" w:themeTint="40" w:fill="DEE4F2"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A5D4A8" w:themeColor="accent6" w:themeTint="90"/>
        <w:bottom w:val="single" w:sz="4" w:space="0" w:color="A5D4A8" w:themeColor="accent6" w:themeTint="90"/>
        <w:insideH w:val="single" w:sz="4" w:space="0" w:color="A5D4A8" w:themeColor="accent6" w:themeTint="90"/>
      </w:tblBorders>
    </w:tblPr>
    <w:tblStylePr w:type="firstRow">
      <w:rPr>
        <w:rFonts w:ascii="Arial" w:hAnsi="Arial"/>
        <w:b/>
        <w:color w:val="404040"/>
        <w:sz w:val="22"/>
      </w:rPr>
      <w:tblPr/>
      <w:tcPr>
        <w:tcBorders>
          <w:top w:val="single" w:sz="4" w:space="0" w:color="A5D4A8" w:themeColor="accent6" w:themeTint="90"/>
          <w:left w:val="none" w:sz="4" w:space="0" w:color="000000"/>
          <w:bottom w:val="single" w:sz="4" w:space="0" w:color="A5D4A8" w:themeColor="accent6" w:themeTint="90"/>
          <w:right w:val="none" w:sz="4" w:space="0" w:color="000000"/>
        </w:tcBorders>
      </w:tcPr>
    </w:tblStylePr>
    <w:tblStylePr w:type="lastRow">
      <w:rPr>
        <w:rFonts w:ascii="Arial" w:hAnsi="Arial"/>
        <w:b/>
        <w:color w:val="404040"/>
        <w:sz w:val="22"/>
      </w:rPr>
      <w:tblPr/>
      <w:tcPr>
        <w:tcBorders>
          <w:top w:val="single" w:sz="4" w:space="0" w:color="A5D4A8" w:themeColor="accent6" w:themeTint="90"/>
          <w:left w:val="none" w:sz="4" w:space="0" w:color="000000"/>
          <w:bottom w:val="single" w:sz="4" w:space="0" w:color="A5D4A8"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6ECD8" w:themeColor="accent6" w:themeTint="40" w:fill="D6ECD8" w:themeFill="accent6" w:themeFillTint="40"/>
      </w:tcPr>
    </w:tblStylePr>
    <w:tblStylePr w:type="band1Horz">
      <w:rPr>
        <w:rFonts w:ascii="Arial" w:hAnsi="Arial"/>
        <w:color w:val="404040"/>
        <w:sz w:val="22"/>
      </w:rPr>
      <w:tblPr/>
      <w:tcPr>
        <w:shd w:val="clear" w:color="D6ECD8" w:themeColor="accent6" w:themeTint="40" w:fill="D6ECD8"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EF7757" w:themeColor="accent1"/>
        <w:left w:val="single" w:sz="4" w:space="0" w:color="EF7757" w:themeColor="accent1"/>
        <w:bottom w:val="single" w:sz="4" w:space="0" w:color="EF7757" w:themeColor="accent1"/>
        <w:right w:val="single" w:sz="4" w:space="0" w:color="EF7757" w:themeColor="accent1"/>
      </w:tblBorders>
    </w:tblPr>
    <w:tblStylePr w:type="firstRow">
      <w:rPr>
        <w:rFonts w:ascii="Arial" w:hAnsi="Arial"/>
        <w:b/>
        <w:color w:val="FFFFFF"/>
        <w:sz w:val="22"/>
      </w:rPr>
      <w:tblPr/>
      <w:tcPr>
        <w:shd w:val="clear" w:color="EF7757" w:themeColor="accent1" w:fill="EF7757"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EF7757" w:themeColor="accent1"/>
          <w:right w:val="single" w:sz="4" w:space="0" w:color="EF7757" w:themeColor="accent1"/>
        </w:tcBorders>
      </w:tcPr>
    </w:tblStylePr>
    <w:tblStylePr w:type="band1Horz">
      <w:rPr>
        <w:rFonts w:ascii="Arial" w:hAnsi="Arial"/>
        <w:color w:val="404040"/>
        <w:sz w:val="22"/>
      </w:rPr>
      <w:tblPr/>
      <w:tcPr>
        <w:tcBorders>
          <w:top w:val="single" w:sz="4" w:space="0" w:color="EF7757" w:themeColor="accent1"/>
          <w:bottom w:val="single" w:sz="4" w:space="0" w:color="EF7757"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635ECB" w:themeColor="accent2" w:themeTint="97"/>
        <w:left w:val="single" w:sz="4" w:space="0" w:color="635ECB" w:themeColor="accent2" w:themeTint="97"/>
        <w:bottom w:val="single" w:sz="4" w:space="0" w:color="635ECB" w:themeColor="accent2" w:themeTint="97"/>
        <w:right w:val="single" w:sz="4" w:space="0" w:color="635ECB" w:themeColor="accent2" w:themeTint="97"/>
      </w:tblBorders>
    </w:tblPr>
    <w:tblStylePr w:type="firstRow">
      <w:rPr>
        <w:rFonts w:ascii="Arial" w:hAnsi="Arial"/>
        <w:b/>
        <w:color w:val="FFFFFF"/>
        <w:sz w:val="22"/>
      </w:rPr>
      <w:tblPr/>
      <w:tcPr>
        <w:shd w:val="clear" w:color="635ECB" w:themeColor="accent2" w:themeTint="97" w:fill="635ECB"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35ECB" w:themeColor="accent2" w:themeTint="97"/>
          <w:right w:val="single" w:sz="4" w:space="0" w:color="635ECB" w:themeColor="accent2" w:themeTint="97"/>
        </w:tcBorders>
      </w:tcPr>
    </w:tblStylePr>
    <w:tblStylePr w:type="band1Horz">
      <w:rPr>
        <w:rFonts w:ascii="Arial" w:hAnsi="Arial"/>
        <w:color w:val="404040"/>
        <w:sz w:val="22"/>
      </w:rPr>
      <w:tblPr/>
      <w:tcPr>
        <w:tcBorders>
          <w:top w:val="single" w:sz="4" w:space="0" w:color="635ECB" w:themeColor="accent2" w:themeTint="97"/>
          <w:bottom w:val="single" w:sz="4" w:space="0" w:color="635ECB"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FE095" w:themeColor="accent3" w:themeTint="98"/>
        <w:left w:val="single" w:sz="4" w:space="0" w:color="CFE095" w:themeColor="accent3" w:themeTint="98"/>
        <w:bottom w:val="single" w:sz="4" w:space="0" w:color="CFE095" w:themeColor="accent3" w:themeTint="98"/>
        <w:right w:val="single" w:sz="4" w:space="0" w:color="CFE095" w:themeColor="accent3" w:themeTint="98"/>
      </w:tblBorders>
    </w:tblPr>
    <w:tblStylePr w:type="firstRow">
      <w:rPr>
        <w:rFonts w:ascii="Arial" w:hAnsi="Arial"/>
        <w:b/>
        <w:color w:val="FFFFFF"/>
        <w:sz w:val="22"/>
      </w:rPr>
      <w:tblPr/>
      <w:tcPr>
        <w:shd w:val="clear" w:color="CFE095" w:themeColor="accent3" w:themeTint="98" w:fill="CFE095"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FE095" w:themeColor="accent3" w:themeTint="98"/>
          <w:right w:val="single" w:sz="4" w:space="0" w:color="CFE095" w:themeColor="accent3" w:themeTint="98"/>
        </w:tcBorders>
      </w:tcPr>
    </w:tblStylePr>
    <w:tblStylePr w:type="band1Horz">
      <w:rPr>
        <w:rFonts w:ascii="Arial" w:hAnsi="Arial"/>
        <w:color w:val="404040"/>
        <w:sz w:val="22"/>
      </w:rPr>
      <w:tblPr/>
      <w:tcPr>
        <w:tcBorders>
          <w:top w:val="single" w:sz="4" w:space="0" w:color="CFE095" w:themeColor="accent3" w:themeTint="98"/>
          <w:bottom w:val="single" w:sz="4" w:space="0" w:color="CFE095"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FDF2B0" w:themeColor="accent4" w:themeTint="9A"/>
        <w:left w:val="single" w:sz="4" w:space="0" w:color="FDF2B0" w:themeColor="accent4" w:themeTint="9A"/>
        <w:bottom w:val="single" w:sz="4" w:space="0" w:color="FDF2B0" w:themeColor="accent4" w:themeTint="9A"/>
        <w:right w:val="single" w:sz="4" w:space="0" w:color="FDF2B0" w:themeColor="accent4" w:themeTint="9A"/>
      </w:tblBorders>
    </w:tblPr>
    <w:tblStylePr w:type="firstRow">
      <w:rPr>
        <w:rFonts w:ascii="Arial" w:hAnsi="Arial"/>
        <w:b/>
        <w:color w:val="FFFFFF"/>
        <w:sz w:val="22"/>
      </w:rPr>
      <w:tblPr/>
      <w:tcPr>
        <w:shd w:val="clear" w:color="FDF2B0" w:themeColor="accent4" w:themeTint="9A" w:fill="FDF2B0"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DF2B0" w:themeColor="accent4" w:themeTint="9A"/>
          <w:right w:val="single" w:sz="4" w:space="0" w:color="FDF2B0" w:themeColor="accent4" w:themeTint="9A"/>
        </w:tcBorders>
      </w:tcPr>
    </w:tblStylePr>
    <w:tblStylePr w:type="band1Horz">
      <w:rPr>
        <w:rFonts w:ascii="Arial" w:hAnsi="Arial"/>
        <w:color w:val="404040"/>
        <w:sz w:val="22"/>
      </w:rPr>
      <w:tblPr/>
      <w:tcPr>
        <w:tcBorders>
          <w:top w:val="single" w:sz="4" w:space="0" w:color="FDF2B0" w:themeColor="accent4" w:themeTint="9A"/>
          <w:bottom w:val="single" w:sz="4" w:space="0" w:color="FDF2B0"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B0BFE1" w:themeColor="accent5" w:themeTint="9A"/>
        <w:left w:val="single" w:sz="4" w:space="0" w:color="B0BFE1" w:themeColor="accent5" w:themeTint="9A"/>
        <w:bottom w:val="single" w:sz="4" w:space="0" w:color="B0BFE1" w:themeColor="accent5" w:themeTint="9A"/>
        <w:right w:val="single" w:sz="4" w:space="0" w:color="B0BFE1" w:themeColor="accent5" w:themeTint="9A"/>
      </w:tblBorders>
    </w:tblPr>
    <w:tblStylePr w:type="firstRow">
      <w:rPr>
        <w:rFonts w:ascii="Arial" w:hAnsi="Arial"/>
        <w:b/>
        <w:color w:val="FFFFFF"/>
        <w:sz w:val="22"/>
      </w:rPr>
      <w:tblPr/>
      <w:tcPr>
        <w:shd w:val="clear" w:color="B0BFE1" w:themeColor="accent5" w:themeTint="9A" w:fill="B0BFE1"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0BFE1" w:themeColor="accent5" w:themeTint="9A"/>
          <w:right w:val="single" w:sz="4" w:space="0" w:color="B0BFE1" w:themeColor="accent5" w:themeTint="9A"/>
        </w:tcBorders>
      </w:tcPr>
    </w:tblStylePr>
    <w:tblStylePr w:type="band1Horz">
      <w:rPr>
        <w:rFonts w:ascii="Arial" w:hAnsi="Arial"/>
        <w:color w:val="404040"/>
        <w:sz w:val="22"/>
      </w:rPr>
      <w:tblPr/>
      <w:tcPr>
        <w:tcBorders>
          <w:top w:val="single" w:sz="4" w:space="0" w:color="B0BFE1" w:themeColor="accent5" w:themeTint="9A"/>
          <w:bottom w:val="single" w:sz="4" w:space="0" w:color="B0BFE1"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A0D2A4" w:themeColor="accent6" w:themeTint="98"/>
        <w:left w:val="single" w:sz="4" w:space="0" w:color="A0D2A4" w:themeColor="accent6" w:themeTint="98"/>
        <w:bottom w:val="single" w:sz="4" w:space="0" w:color="A0D2A4" w:themeColor="accent6" w:themeTint="98"/>
        <w:right w:val="single" w:sz="4" w:space="0" w:color="A0D2A4" w:themeColor="accent6" w:themeTint="98"/>
      </w:tblBorders>
    </w:tblPr>
    <w:tblStylePr w:type="firstRow">
      <w:rPr>
        <w:rFonts w:ascii="Arial" w:hAnsi="Arial"/>
        <w:b/>
        <w:color w:val="FFFFFF"/>
        <w:sz w:val="22"/>
      </w:rPr>
      <w:tblPr/>
      <w:tcPr>
        <w:shd w:val="clear" w:color="A0D2A4" w:themeColor="accent6" w:themeTint="98" w:fill="A0D2A4"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0D2A4" w:themeColor="accent6" w:themeTint="98"/>
          <w:right w:val="single" w:sz="4" w:space="0" w:color="A0D2A4" w:themeColor="accent6" w:themeTint="98"/>
        </w:tcBorders>
      </w:tcPr>
    </w:tblStylePr>
    <w:tblStylePr w:type="band1Horz">
      <w:rPr>
        <w:rFonts w:ascii="Arial" w:hAnsi="Arial"/>
        <w:color w:val="404040"/>
        <w:sz w:val="22"/>
      </w:rPr>
      <w:tblPr/>
      <w:tcPr>
        <w:tcBorders>
          <w:top w:val="single" w:sz="4" w:space="0" w:color="A0D2A4" w:themeColor="accent6" w:themeTint="98"/>
          <w:bottom w:val="single" w:sz="4" w:space="0" w:color="A0D2A4"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F6B1A0" w:themeColor="accent1" w:themeTint="90"/>
        <w:left w:val="single" w:sz="4" w:space="0" w:color="F6B1A0" w:themeColor="accent1" w:themeTint="90"/>
        <w:bottom w:val="single" w:sz="4" w:space="0" w:color="F6B1A0" w:themeColor="accent1" w:themeTint="90"/>
        <w:right w:val="single" w:sz="4" w:space="0" w:color="F6B1A0" w:themeColor="accent1" w:themeTint="90"/>
        <w:insideH w:val="single" w:sz="4" w:space="0" w:color="F6B1A0" w:themeColor="accent1" w:themeTint="90"/>
      </w:tblBorders>
    </w:tblPr>
    <w:tblStylePr w:type="firstRow">
      <w:rPr>
        <w:rFonts w:ascii="Arial" w:hAnsi="Arial"/>
        <w:b/>
        <w:color w:val="FFFFFF"/>
        <w:sz w:val="22"/>
      </w:rPr>
      <w:tblPr/>
      <w:tcPr>
        <w:shd w:val="clear" w:color="EF7757" w:themeColor="accent1" w:fill="EF7757"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DCD4" w:themeColor="accent1" w:themeTint="40" w:fill="FBDCD4" w:themeFill="accent1" w:themeFillTint="40"/>
      </w:tcPr>
    </w:tblStylePr>
    <w:tblStylePr w:type="band1Horz">
      <w:rPr>
        <w:rFonts w:ascii="Arial" w:hAnsi="Arial"/>
        <w:color w:val="404040"/>
        <w:sz w:val="22"/>
      </w:rPr>
      <w:tblPr/>
      <w:tcPr>
        <w:shd w:val="clear" w:color="FBDCD4" w:themeColor="accent1" w:themeTint="40" w:fill="FBDCD4"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6A66CE" w:themeColor="accent2" w:themeTint="90"/>
        <w:left w:val="single" w:sz="4" w:space="0" w:color="6A66CE" w:themeColor="accent2" w:themeTint="90"/>
        <w:bottom w:val="single" w:sz="4" w:space="0" w:color="6A66CE" w:themeColor="accent2" w:themeTint="90"/>
        <w:right w:val="single" w:sz="4" w:space="0" w:color="6A66CE" w:themeColor="accent2" w:themeTint="90"/>
        <w:insideH w:val="single" w:sz="4" w:space="0" w:color="6A66CE" w:themeColor="accent2" w:themeTint="90"/>
      </w:tblBorders>
    </w:tblPr>
    <w:tblStylePr w:type="firstRow">
      <w:rPr>
        <w:rFonts w:ascii="Arial" w:hAnsi="Arial"/>
        <w:b/>
        <w:color w:val="FFFFFF"/>
        <w:sz w:val="22"/>
      </w:rPr>
      <w:tblPr/>
      <w:tcPr>
        <w:shd w:val="clear" w:color="292574" w:themeColor="accent2" w:fill="292574"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DBBE9" w:themeColor="accent2" w:themeTint="40" w:fill="BDBBE9" w:themeFill="accent2" w:themeFillTint="40"/>
      </w:tcPr>
    </w:tblStylePr>
    <w:tblStylePr w:type="band1Horz">
      <w:rPr>
        <w:rFonts w:ascii="Arial" w:hAnsi="Arial"/>
        <w:color w:val="404040"/>
        <w:sz w:val="22"/>
      </w:rPr>
      <w:tblPr/>
      <w:tcPr>
        <w:shd w:val="clear" w:color="BDBBE9" w:themeColor="accent2" w:themeTint="40" w:fill="BDBBE9"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D2E29A" w:themeColor="accent3" w:themeTint="90"/>
        <w:left w:val="single" w:sz="4" w:space="0" w:color="D2E29A" w:themeColor="accent3" w:themeTint="90"/>
        <w:bottom w:val="single" w:sz="4" w:space="0" w:color="D2E29A" w:themeColor="accent3" w:themeTint="90"/>
        <w:right w:val="single" w:sz="4" w:space="0" w:color="D2E29A" w:themeColor="accent3" w:themeTint="90"/>
        <w:insideH w:val="single" w:sz="4" w:space="0" w:color="D2E29A" w:themeColor="accent3" w:themeTint="90"/>
      </w:tblBorders>
    </w:tblPr>
    <w:tblStylePr w:type="firstRow">
      <w:rPr>
        <w:rFonts w:ascii="Arial" w:hAnsi="Arial"/>
        <w:b/>
        <w:color w:val="FFFFFF"/>
        <w:sz w:val="22"/>
      </w:rPr>
      <w:tblPr/>
      <w:tcPr>
        <w:shd w:val="clear" w:color="B0CC4E" w:themeColor="accent3" w:fill="B0CC4E"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F2D2" w:themeColor="accent3" w:themeTint="40" w:fill="EBF2D2" w:themeFill="accent3" w:themeFillTint="40"/>
      </w:tcPr>
    </w:tblStylePr>
    <w:tblStylePr w:type="band1Horz">
      <w:rPr>
        <w:rFonts w:ascii="Arial" w:hAnsi="Arial"/>
        <w:color w:val="404040"/>
        <w:sz w:val="22"/>
      </w:rPr>
      <w:tblPr/>
      <w:tcPr>
        <w:shd w:val="clear" w:color="EBF2D2" w:themeColor="accent3" w:themeTint="40" w:fill="EBF2D2"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FEF3B5" w:themeColor="accent4" w:themeTint="90"/>
        <w:left w:val="single" w:sz="4" w:space="0" w:color="FEF3B5" w:themeColor="accent4" w:themeTint="90"/>
        <w:bottom w:val="single" w:sz="4" w:space="0" w:color="FEF3B5" w:themeColor="accent4" w:themeTint="90"/>
        <w:right w:val="single" w:sz="4" w:space="0" w:color="FEF3B5" w:themeColor="accent4" w:themeTint="90"/>
        <w:insideH w:val="single" w:sz="4" w:space="0" w:color="FEF3B5" w:themeColor="accent4" w:themeTint="90"/>
      </w:tblBorders>
    </w:tblPr>
    <w:tblStylePr w:type="firstRow">
      <w:rPr>
        <w:rFonts w:ascii="Arial" w:hAnsi="Arial"/>
        <w:b/>
        <w:color w:val="FFFFFF"/>
        <w:sz w:val="22"/>
      </w:rPr>
      <w:tblPr/>
      <w:tcPr>
        <w:shd w:val="clear" w:color="FDEB7D" w:themeColor="accent4" w:fill="FDEB7D"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EF9DE" w:themeColor="accent4" w:themeTint="40" w:fill="FEF9DE" w:themeFill="accent4" w:themeFillTint="40"/>
      </w:tcPr>
    </w:tblStylePr>
    <w:tblStylePr w:type="band1Horz">
      <w:rPr>
        <w:rFonts w:ascii="Arial" w:hAnsi="Arial"/>
        <w:color w:val="404040"/>
        <w:sz w:val="22"/>
      </w:rPr>
      <w:tblPr/>
      <w:tcPr>
        <w:shd w:val="clear" w:color="FEF9DE" w:themeColor="accent4" w:themeTint="40" w:fill="FEF9DE"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B6C4E3" w:themeColor="accent5" w:themeTint="90"/>
        <w:left w:val="single" w:sz="4" w:space="0" w:color="B6C4E3" w:themeColor="accent5" w:themeTint="90"/>
        <w:bottom w:val="single" w:sz="4" w:space="0" w:color="B6C4E3" w:themeColor="accent5" w:themeTint="90"/>
        <w:right w:val="single" w:sz="4" w:space="0" w:color="B6C4E3" w:themeColor="accent5" w:themeTint="90"/>
        <w:insideH w:val="single" w:sz="4" w:space="0" w:color="B6C4E3" w:themeColor="accent5" w:themeTint="90"/>
      </w:tblBorders>
    </w:tblPr>
    <w:tblStylePr w:type="firstRow">
      <w:rPr>
        <w:rFonts w:ascii="Arial" w:hAnsi="Arial"/>
        <w:b/>
        <w:color w:val="FFFFFF"/>
        <w:sz w:val="22"/>
      </w:rPr>
      <w:tblPr/>
      <w:tcPr>
        <w:shd w:val="clear" w:color="7E97CE" w:themeColor="accent5" w:fill="7E97CE"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4F2" w:themeColor="accent5" w:themeTint="40" w:fill="DEE4F2" w:themeFill="accent5" w:themeFillTint="40"/>
      </w:tcPr>
    </w:tblStylePr>
    <w:tblStylePr w:type="band1Horz">
      <w:rPr>
        <w:rFonts w:ascii="Arial" w:hAnsi="Arial"/>
        <w:color w:val="404040"/>
        <w:sz w:val="22"/>
      </w:rPr>
      <w:tblPr/>
      <w:tcPr>
        <w:shd w:val="clear" w:color="DEE4F2" w:themeColor="accent5" w:themeTint="40" w:fill="DEE4F2"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A5D4A8" w:themeColor="accent6" w:themeTint="90"/>
        <w:left w:val="single" w:sz="4" w:space="0" w:color="A5D4A8" w:themeColor="accent6" w:themeTint="90"/>
        <w:bottom w:val="single" w:sz="4" w:space="0" w:color="A5D4A8" w:themeColor="accent6" w:themeTint="90"/>
        <w:right w:val="single" w:sz="4" w:space="0" w:color="A5D4A8" w:themeColor="accent6" w:themeTint="90"/>
        <w:insideH w:val="single" w:sz="4" w:space="0" w:color="A5D4A8" w:themeColor="accent6" w:themeTint="90"/>
      </w:tblBorders>
    </w:tblPr>
    <w:tblStylePr w:type="firstRow">
      <w:rPr>
        <w:rFonts w:ascii="Arial" w:hAnsi="Arial"/>
        <w:b/>
        <w:color w:val="FFFFFF"/>
        <w:sz w:val="22"/>
      </w:rPr>
      <w:tblPr/>
      <w:tcPr>
        <w:shd w:val="clear" w:color="60B467" w:themeColor="accent6" w:fill="60B46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ECD8" w:themeColor="accent6" w:themeTint="40" w:fill="D6ECD8" w:themeFill="accent6" w:themeFillTint="40"/>
      </w:tcPr>
    </w:tblStylePr>
    <w:tblStylePr w:type="band1Horz">
      <w:rPr>
        <w:rFonts w:ascii="Arial" w:hAnsi="Arial"/>
        <w:color w:val="404040"/>
        <w:sz w:val="22"/>
      </w:rPr>
      <w:tblPr/>
      <w:tcPr>
        <w:shd w:val="clear" w:color="D6ECD8" w:themeColor="accent6" w:themeTint="40" w:fill="D6ECD8"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EF7757" w:themeColor="accent1"/>
        <w:left w:val="single" w:sz="32" w:space="0" w:color="EF7757" w:themeColor="accent1"/>
        <w:bottom w:val="single" w:sz="32" w:space="0" w:color="EF7757" w:themeColor="accent1"/>
        <w:right w:val="single" w:sz="32" w:space="0" w:color="EF7757" w:themeColor="accent1"/>
      </w:tblBorders>
      <w:shd w:val="clear" w:color="EF7757" w:themeColor="accent1" w:fill="EF7757" w:themeFill="accent1"/>
    </w:tblPr>
    <w:tblStylePr w:type="firstRow">
      <w:rPr>
        <w:rFonts w:ascii="Arial" w:hAnsi="Arial"/>
        <w:b/>
        <w:color w:val="FFFFFF" w:themeColor="light1"/>
        <w:sz w:val="22"/>
      </w:rPr>
      <w:tblPr/>
      <w:tcPr>
        <w:tcBorders>
          <w:top w:val="single" w:sz="32" w:space="0" w:color="EF7757" w:themeColor="accent1"/>
          <w:bottom w:val="single" w:sz="12" w:space="0" w:color="FFFFFF" w:themeColor="light1"/>
        </w:tcBorders>
        <w:shd w:val="clear" w:color="EF7757" w:themeColor="accent1" w:fill="EF7757"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EF7757" w:themeColor="accent1"/>
          <w:right w:val="single" w:sz="4" w:space="0" w:color="FFFFFF" w:themeColor="light1"/>
        </w:tcBorders>
      </w:tcPr>
    </w:tblStylePr>
    <w:tblStylePr w:type="lastCol">
      <w:tblPr/>
      <w:tcPr>
        <w:tcBorders>
          <w:left w:val="single" w:sz="4" w:space="0" w:color="FFFFFF" w:themeColor="light1"/>
          <w:right w:val="single" w:sz="32" w:space="0" w:color="EF7757" w:themeColor="accent1"/>
        </w:tcBorders>
      </w:tcPr>
    </w:tblStylePr>
    <w:tblStylePr w:type="band1Vert">
      <w:tblPr/>
      <w:tcPr>
        <w:tcBorders>
          <w:left w:val="single" w:sz="4" w:space="0" w:color="FFFFFF" w:themeColor="light1"/>
          <w:right w:val="single" w:sz="4" w:space="0" w:color="FFFFFF" w:themeColor="light1"/>
        </w:tcBorders>
        <w:shd w:val="clear" w:color="EF7757" w:themeColor="accent1" w:fill="EF7757"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EF7757" w:themeColor="accent1" w:fill="EF7757" w:themeFill="accent1"/>
      </w:tcPr>
    </w:tblStylePr>
    <w:tblStylePr w:type="band2Horz">
      <w:tblPr/>
      <w:tcPr>
        <w:tcBorders>
          <w:top w:val="single" w:sz="4" w:space="0" w:color="FFFFFF" w:themeColor="light1"/>
          <w:bottom w:val="single" w:sz="4" w:space="0" w:color="FFFFFF" w:themeColor="light1"/>
        </w:tcBorders>
        <w:shd w:val="clear" w:color="EF7757" w:themeColor="accent1" w:fill="EF7757"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635ECB" w:themeColor="accent2" w:themeTint="97"/>
        <w:left w:val="single" w:sz="32" w:space="0" w:color="635ECB" w:themeColor="accent2" w:themeTint="97"/>
        <w:bottom w:val="single" w:sz="32" w:space="0" w:color="635ECB" w:themeColor="accent2" w:themeTint="97"/>
        <w:right w:val="single" w:sz="32" w:space="0" w:color="635ECB" w:themeColor="accent2" w:themeTint="97"/>
      </w:tblBorders>
      <w:shd w:val="clear" w:color="635ECB" w:themeColor="accent2" w:themeTint="97" w:fill="635ECB" w:themeFill="accent2" w:themeFillTint="97"/>
    </w:tblPr>
    <w:tblStylePr w:type="firstRow">
      <w:rPr>
        <w:rFonts w:ascii="Arial" w:hAnsi="Arial"/>
        <w:b/>
        <w:color w:val="FFFFFF" w:themeColor="light1"/>
        <w:sz w:val="22"/>
      </w:rPr>
      <w:tblPr/>
      <w:tcPr>
        <w:tcBorders>
          <w:top w:val="single" w:sz="32" w:space="0" w:color="635ECB" w:themeColor="accent2" w:themeTint="97"/>
          <w:bottom w:val="single" w:sz="12" w:space="0" w:color="FFFFFF" w:themeColor="light1"/>
        </w:tcBorders>
        <w:shd w:val="clear" w:color="635ECB" w:themeColor="accent2" w:themeTint="97" w:fill="635ECB"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35ECB" w:themeColor="accent2" w:themeTint="97"/>
          <w:right w:val="single" w:sz="4" w:space="0" w:color="FFFFFF" w:themeColor="light1"/>
        </w:tcBorders>
      </w:tcPr>
    </w:tblStylePr>
    <w:tblStylePr w:type="lastCol">
      <w:tblPr/>
      <w:tcPr>
        <w:tcBorders>
          <w:left w:val="single" w:sz="4" w:space="0" w:color="FFFFFF" w:themeColor="light1"/>
          <w:right w:val="single" w:sz="32" w:space="0" w:color="635ECB" w:themeColor="accent2" w:themeTint="97"/>
        </w:tcBorders>
      </w:tcPr>
    </w:tblStylePr>
    <w:tblStylePr w:type="band1Vert">
      <w:tblPr/>
      <w:tcPr>
        <w:tcBorders>
          <w:left w:val="single" w:sz="4" w:space="0" w:color="FFFFFF" w:themeColor="light1"/>
          <w:right w:val="single" w:sz="4" w:space="0" w:color="FFFFFF" w:themeColor="light1"/>
        </w:tcBorders>
        <w:shd w:val="clear" w:color="635ECB" w:themeColor="accent2" w:themeTint="97" w:fill="635ECB"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35ECB" w:themeColor="accent2" w:themeTint="97" w:fill="635ECB" w:themeFill="accent2" w:themeFillTint="97"/>
      </w:tcPr>
    </w:tblStylePr>
    <w:tblStylePr w:type="band2Horz">
      <w:tblPr/>
      <w:tcPr>
        <w:tcBorders>
          <w:top w:val="single" w:sz="4" w:space="0" w:color="FFFFFF" w:themeColor="light1"/>
          <w:bottom w:val="single" w:sz="4" w:space="0" w:color="FFFFFF" w:themeColor="light1"/>
        </w:tcBorders>
        <w:shd w:val="clear" w:color="635ECB" w:themeColor="accent2" w:themeTint="97" w:fill="635ECB"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FE095" w:themeColor="accent3" w:themeTint="98"/>
        <w:left w:val="single" w:sz="32" w:space="0" w:color="CFE095" w:themeColor="accent3" w:themeTint="98"/>
        <w:bottom w:val="single" w:sz="32" w:space="0" w:color="CFE095" w:themeColor="accent3" w:themeTint="98"/>
        <w:right w:val="single" w:sz="32" w:space="0" w:color="CFE095" w:themeColor="accent3" w:themeTint="98"/>
      </w:tblBorders>
      <w:shd w:val="clear" w:color="CFE095" w:themeColor="accent3" w:themeTint="98" w:fill="CFE095" w:themeFill="accent3" w:themeFillTint="98"/>
    </w:tblPr>
    <w:tblStylePr w:type="firstRow">
      <w:rPr>
        <w:rFonts w:ascii="Arial" w:hAnsi="Arial"/>
        <w:b/>
        <w:color w:val="FFFFFF" w:themeColor="light1"/>
        <w:sz w:val="22"/>
      </w:rPr>
      <w:tblPr/>
      <w:tcPr>
        <w:tcBorders>
          <w:top w:val="single" w:sz="32" w:space="0" w:color="CFE095" w:themeColor="accent3" w:themeTint="98"/>
          <w:bottom w:val="single" w:sz="12" w:space="0" w:color="FFFFFF" w:themeColor="light1"/>
        </w:tcBorders>
        <w:shd w:val="clear" w:color="CFE095" w:themeColor="accent3" w:themeTint="98" w:fill="CFE095"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FE095" w:themeColor="accent3" w:themeTint="98"/>
          <w:right w:val="single" w:sz="4" w:space="0" w:color="FFFFFF" w:themeColor="light1"/>
        </w:tcBorders>
      </w:tcPr>
    </w:tblStylePr>
    <w:tblStylePr w:type="lastCol">
      <w:tblPr/>
      <w:tcPr>
        <w:tcBorders>
          <w:left w:val="single" w:sz="4" w:space="0" w:color="FFFFFF" w:themeColor="light1"/>
          <w:right w:val="single" w:sz="32" w:space="0" w:color="CFE095" w:themeColor="accent3" w:themeTint="98"/>
        </w:tcBorders>
      </w:tcPr>
    </w:tblStylePr>
    <w:tblStylePr w:type="band1Vert">
      <w:tblPr/>
      <w:tcPr>
        <w:tcBorders>
          <w:left w:val="single" w:sz="4" w:space="0" w:color="FFFFFF" w:themeColor="light1"/>
          <w:right w:val="single" w:sz="4" w:space="0" w:color="FFFFFF" w:themeColor="light1"/>
        </w:tcBorders>
        <w:shd w:val="clear" w:color="CFE095" w:themeColor="accent3" w:themeTint="98" w:fill="CFE095"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FE095" w:themeColor="accent3" w:themeTint="98" w:fill="CFE095" w:themeFill="accent3" w:themeFillTint="98"/>
      </w:tcPr>
    </w:tblStylePr>
    <w:tblStylePr w:type="band2Horz">
      <w:tblPr/>
      <w:tcPr>
        <w:tcBorders>
          <w:top w:val="single" w:sz="4" w:space="0" w:color="FFFFFF" w:themeColor="light1"/>
          <w:bottom w:val="single" w:sz="4" w:space="0" w:color="FFFFFF" w:themeColor="light1"/>
        </w:tcBorders>
        <w:shd w:val="clear" w:color="CFE095" w:themeColor="accent3" w:themeTint="98" w:fill="CFE095"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FDF2B0" w:themeColor="accent4" w:themeTint="9A"/>
        <w:left w:val="single" w:sz="32" w:space="0" w:color="FDF2B0" w:themeColor="accent4" w:themeTint="9A"/>
        <w:bottom w:val="single" w:sz="32" w:space="0" w:color="FDF2B0" w:themeColor="accent4" w:themeTint="9A"/>
        <w:right w:val="single" w:sz="32" w:space="0" w:color="FDF2B0" w:themeColor="accent4" w:themeTint="9A"/>
      </w:tblBorders>
      <w:shd w:val="clear" w:color="FDF2B0" w:themeColor="accent4" w:themeTint="9A" w:fill="FDF2B0" w:themeFill="accent4" w:themeFillTint="9A"/>
    </w:tblPr>
    <w:tblStylePr w:type="firstRow">
      <w:rPr>
        <w:rFonts w:ascii="Arial" w:hAnsi="Arial"/>
        <w:b/>
        <w:color w:val="FFFFFF" w:themeColor="light1"/>
        <w:sz w:val="22"/>
      </w:rPr>
      <w:tblPr/>
      <w:tcPr>
        <w:tcBorders>
          <w:top w:val="single" w:sz="32" w:space="0" w:color="FDF2B0" w:themeColor="accent4" w:themeTint="9A"/>
          <w:bottom w:val="single" w:sz="12" w:space="0" w:color="FFFFFF" w:themeColor="light1"/>
        </w:tcBorders>
        <w:shd w:val="clear" w:color="FDF2B0" w:themeColor="accent4" w:themeTint="9A" w:fill="FDF2B0"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DF2B0" w:themeColor="accent4" w:themeTint="9A"/>
          <w:right w:val="single" w:sz="4" w:space="0" w:color="FFFFFF" w:themeColor="light1"/>
        </w:tcBorders>
      </w:tcPr>
    </w:tblStylePr>
    <w:tblStylePr w:type="lastCol">
      <w:tblPr/>
      <w:tcPr>
        <w:tcBorders>
          <w:left w:val="single" w:sz="4" w:space="0" w:color="FFFFFF" w:themeColor="light1"/>
          <w:right w:val="single" w:sz="32" w:space="0" w:color="FDF2B0" w:themeColor="accent4" w:themeTint="9A"/>
        </w:tcBorders>
      </w:tcPr>
    </w:tblStylePr>
    <w:tblStylePr w:type="band1Vert">
      <w:tblPr/>
      <w:tcPr>
        <w:tcBorders>
          <w:left w:val="single" w:sz="4" w:space="0" w:color="FFFFFF" w:themeColor="light1"/>
          <w:right w:val="single" w:sz="4" w:space="0" w:color="FFFFFF" w:themeColor="light1"/>
        </w:tcBorders>
        <w:shd w:val="clear" w:color="FDF2B0" w:themeColor="accent4" w:themeTint="9A" w:fill="FDF2B0"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DF2B0" w:themeColor="accent4" w:themeTint="9A" w:fill="FDF2B0" w:themeFill="accent4" w:themeFillTint="9A"/>
      </w:tcPr>
    </w:tblStylePr>
    <w:tblStylePr w:type="band2Horz">
      <w:tblPr/>
      <w:tcPr>
        <w:tcBorders>
          <w:top w:val="single" w:sz="4" w:space="0" w:color="FFFFFF" w:themeColor="light1"/>
          <w:bottom w:val="single" w:sz="4" w:space="0" w:color="FFFFFF" w:themeColor="light1"/>
        </w:tcBorders>
        <w:shd w:val="clear" w:color="FDF2B0" w:themeColor="accent4" w:themeTint="9A" w:fill="FDF2B0"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B0BFE1" w:themeColor="accent5" w:themeTint="9A"/>
        <w:left w:val="single" w:sz="32" w:space="0" w:color="B0BFE1" w:themeColor="accent5" w:themeTint="9A"/>
        <w:bottom w:val="single" w:sz="32" w:space="0" w:color="B0BFE1" w:themeColor="accent5" w:themeTint="9A"/>
        <w:right w:val="single" w:sz="32" w:space="0" w:color="B0BFE1" w:themeColor="accent5" w:themeTint="9A"/>
      </w:tblBorders>
      <w:shd w:val="clear" w:color="B0BFE1" w:themeColor="accent5" w:themeTint="9A" w:fill="B0BFE1" w:themeFill="accent5" w:themeFillTint="9A"/>
    </w:tblPr>
    <w:tblStylePr w:type="firstRow">
      <w:rPr>
        <w:rFonts w:ascii="Arial" w:hAnsi="Arial"/>
        <w:b/>
        <w:color w:val="FFFFFF" w:themeColor="light1"/>
        <w:sz w:val="22"/>
      </w:rPr>
      <w:tblPr/>
      <w:tcPr>
        <w:tcBorders>
          <w:top w:val="single" w:sz="32" w:space="0" w:color="B0BFE1" w:themeColor="accent5" w:themeTint="9A"/>
          <w:bottom w:val="single" w:sz="12" w:space="0" w:color="FFFFFF" w:themeColor="light1"/>
        </w:tcBorders>
        <w:shd w:val="clear" w:color="B0BFE1" w:themeColor="accent5" w:themeTint="9A" w:fill="B0BFE1"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0BFE1" w:themeColor="accent5" w:themeTint="9A"/>
          <w:right w:val="single" w:sz="4" w:space="0" w:color="FFFFFF" w:themeColor="light1"/>
        </w:tcBorders>
      </w:tcPr>
    </w:tblStylePr>
    <w:tblStylePr w:type="lastCol">
      <w:tblPr/>
      <w:tcPr>
        <w:tcBorders>
          <w:left w:val="single" w:sz="4" w:space="0" w:color="FFFFFF" w:themeColor="light1"/>
          <w:right w:val="single" w:sz="32" w:space="0" w:color="B0BFE1" w:themeColor="accent5" w:themeTint="9A"/>
        </w:tcBorders>
      </w:tcPr>
    </w:tblStylePr>
    <w:tblStylePr w:type="band1Vert">
      <w:tblPr/>
      <w:tcPr>
        <w:tcBorders>
          <w:left w:val="single" w:sz="4" w:space="0" w:color="FFFFFF" w:themeColor="light1"/>
          <w:right w:val="single" w:sz="4" w:space="0" w:color="FFFFFF" w:themeColor="light1"/>
        </w:tcBorders>
        <w:shd w:val="clear" w:color="B0BFE1" w:themeColor="accent5" w:themeTint="9A" w:fill="B0BFE1"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0BFE1" w:themeColor="accent5" w:themeTint="9A" w:fill="B0BFE1" w:themeFill="accent5" w:themeFillTint="9A"/>
      </w:tcPr>
    </w:tblStylePr>
    <w:tblStylePr w:type="band2Horz">
      <w:tblPr/>
      <w:tcPr>
        <w:tcBorders>
          <w:top w:val="single" w:sz="4" w:space="0" w:color="FFFFFF" w:themeColor="light1"/>
          <w:bottom w:val="single" w:sz="4" w:space="0" w:color="FFFFFF" w:themeColor="light1"/>
        </w:tcBorders>
        <w:shd w:val="clear" w:color="B0BFE1" w:themeColor="accent5" w:themeTint="9A" w:fill="B0BFE1"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A0D2A4" w:themeColor="accent6" w:themeTint="98"/>
        <w:left w:val="single" w:sz="32" w:space="0" w:color="A0D2A4" w:themeColor="accent6" w:themeTint="98"/>
        <w:bottom w:val="single" w:sz="32" w:space="0" w:color="A0D2A4" w:themeColor="accent6" w:themeTint="98"/>
        <w:right w:val="single" w:sz="32" w:space="0" w:color="A0D2A4" w:themeColor="accent6" w:themeTint="98"/>
      </w:tblBorders>
      <w:shd w:val="clear" w:color="A0D2A4" w:themeColor="accent6" w:themeTint="98" w:fill="A0D2A4" w:themeFill="accent6" w:themeFillTint="98"/>
    </w:tblPr>
    <w:tblStylePr w:type="firstRow">
      <w:rPr>
        <w:rFonts w:ascii="Arial" w:hAnsi="Arial"/>
        <w:b/>
        <w:color w:val="FFFFFF" w:themeColor="light1"/>
        <w:sz w:val="22"/>
      </w:rPr>
      <w:tblPr/>
      <w:tcPr>
        <w:tcBorders>
          <w:top w:val="single" w:sz="32" w:space="0" w:color="A0D2A4" w:themeColor="accent6" w:themeTint="98"/>
          <w:bottom w:val="single" w:sz="12" w:space="0" w:color="FFFFFF" w:themeColor="light1"/>
        </w:tcBorders>
        <w:shd w:val="clear" w:color="A0D2A4" w:themeColor="accent6" w:themeTint="98" w:fill="A0D2A4"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0D2A4" w:themeColor="accent6" w:themeTint="98"/>
          <w:right w:val="single" w:sz="4" w:space="0" w:color="FFFFFF" w:themeColor="light1"/>
        </w:tcBorders>
      </w:tcPr>
    </w:tblStylePr>
    <w:tblStylePr w:type="lastCol">
      <w:tblPr/>
      <w:tcPr>
        <w:tcBorders>
          <w:left w:val="single" w:sz="4" w:space="0" w:color="FFFFFF" w:themeColor="light1"/>
          <w:right w:val="single" w:sz="32" w:space="0" w:color="A0D2A4" w:themeColor="accent6" w:themeTint="98"/>
        </w:tcBorders>
      </w:tcPr>
    </w:tblStylePr>
    <w:tblStylePr w:type="band1Vert">
      <w:tblPr/>
      <w:tcPr>
        <w:tcBorders>
          <w:left w:val="single" w:sz="4" w:space="0" w:color="FFFFFF" w:themeColor="light1"/>
          <w:right w:val="single" w:sz="4" w:space="0" w:color="FFFFFF" w:themeColor="light1"/>
        </w:tcBorders>
        <w:shd w:val="clear" w:color="A0D2A4" w:themeColor="accent6" w:themeTint="98" w:fill="A0D2A4"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0D2A4" w:themeColor="accent6" w:themeTint="98" w:fill="A0D2A4" w:themeFill="accent6" w:themeFillTint="98"/>
      </w:tcPr>
    </w:tblStylePr>
    <w:tblStylePr w:type="band2Horz">
      <w:tblPr/>
      <w:tcPr>
        <w:tcBorders>
          <w:top w:val="single" w:sz="4" w:space="0" w:color="FFFFFF" w:themeColor="light1"/>
          <w:bottom w:val="single" w:sz="4" w:space="0" w:color="FFFFFF" w:themeColor="light1"/>
        </w:tcBorders>
        <w:shd w:val="clear" w:color="A0D2A4" w:themeColor="accent6" w:themeTint="98" w:fill="A0D2A4"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EF7757" w:themeColor="accent1"/>
        <w:bottom w:val="single" w:sz="4" w:space="0" w:color="EF7757" w:themeColor="accent1"/>
      </w:tblBorders>
    </w:tblPr>
    <w:tblStylePr w:type="firstRow">
      <w:rPr>
        <w:b/>
        <w:color w:val="AD3110" w:themeColor="accent1" w:themeShade="95"/>
      </w:rPr>
      <w:tblPr/>
      <w:tcPr>
        <w:tcBorders>
          <w:bottom w:val="single" w:sz="4" w:space="0" w:color="EF7757" w:themeColor="accent1"/>
        </w:tcBorders>
      </w:tcPr>
    </w:tblStylePr>
    <w:tblStylePr w:type="lastRow">
      <w:rPr>
        <w:b/>
        <w:color w:val="AD3110" w:themeColor="accent1" w:themeShade="95"/>
      </w:rPr>
      <w:tblPr/>
      <w:tcPr>
        <w:tcBorders>
          <w:top w:val="single" w:sz="4" w:space="0" w:color="EF7757" w:themeColor="accent1"/>
        </w:tcBorders>
      </w:tcPr>
    </w:tblStylePr>
    <w:tblStylePr w:type="firstCol">
      <w:rPr>
        <w:b/>
        <w:color w:val="AD3110" w:themeColor="accent1" w:themeShade="95"/>
      </w:rPr>
    </w:tblStylePr>
    <w:tblStylePr w:type="lastCol">
      <w:rPr>
        <w:b/>
        <w:color w:val="AD3110" w:themeColor="accent1" w:themeShade="95"/>
      </w:rPr>
    </w:tblStylePr>
    <w:tblStylePr w:type="band1Vert">
      <w:tblPr/>
      <w:tcPr>
        <w:shd w:val="clear" w:color="FBDCD4" w:themeColor="accent1" w:themeTint="40" w:fill="FBDCD4" w:themeFill="accent1" w:themeFillTint="40"/>
      </w:tcPr>
    </w:tblStylePr>
    <w:tblStylePr w:type="band1Horz">
      <w:rPr>
        <w:rFonts w:ascii="Arial" w:hAnsi="Arial"/>
        <w:color w:val="AD3110" w:themeColor="accent1" w:themeShade="95"/>
        <w:sz w:val="22"/>
      </w:rPr>
      <w:tblPr/>
      <w:tcPr>
        <w:shd w:val="clear" w:color="FBDCD4" w:themeColor="accent1" w:themeTint="40" w:fill="FBDCD4" w:themeFill="accent1" w:themeFillTint="40"/>
      </w:tcPr>
    </w:tblStylePr>
    <w:tblStylePr w:type="band2Horz">
      <w:rPr>
        <w:rFonts w:ascii="Arial" w:hAnsi="Arial"/>
        <w:color w:val="AD3110"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635ECB" w:themeColor="accent2" w:themeTint="97"/>
        <w:bottom w:val="single" w:sz="4" w:space="0" w:color="635ECB" w:themeColor="accent2" w:themeTint="97"/>
      </w:tblBorders>
    </w:tblPr>
    <w:tblStylePr w:type="firstRow">
      <w:rPr>
        <w:b/>
        <w:color w:val="635ECB" w:themeColor="accent2" w:themeTint="97" w:themeShade="95"/>
      </w:rPr>
      <w:tblPr/>
      <w:tcPr>
        <w:tcBorders>
          <w:bottom w:val="single" w:sz="4" w:space="0" w:color="635ECB" w:themeColor="accent2" w:themeTint="97"/>
        </w:tcBorders>
      </w:tcPr>
    </w:tblStylePr>
    <w:tblStylePr w:type="lastRow">
      <w:rPr>
        <w:b/>
        <w:color w:val="635ECB" w:themeColor="accent2" w:themeTint="97" w:themeShade="95"/>
      </w:rPr>
      <w:tblPr/>
      <w:tcPr>
        <w:tcBorders>
          <w:top w:val="single" w:sz="4" w:space="0" w:color="635ECB" w:themeColor="accent2" w:themeTint="97"/>
        </w:tcBorders>
      </w:tcPr>
    </w:tblStylePr>
    <w:tblStylePr w:type="firstCol">
      <w:rPr>
        <w:b/>
        <w:color w:val="635ECB" w:themeColor="accent2" w:themeTint="97" w:themeShade="95"/>
      </w:rPr>
    </w:tblStylePr>
    <w:tblStylePr w:type="lastCol">
      <w:rPr>
        <w:b/>
        <w:color w:val="635ECB" w:themeColor="accent2" w:themeTint="97" w:themeShade="95"/>
      </w:rPr>
    </w:tblStylePr>
    <w:tblStylePr w:type="band1Vert">
      <w:tblPr/>
      <w:tcPr>
        <w:shd w:val="clear" w:color="BDBBE9" w:themeColor="accent2" w:themeTint="40" w:fill="BDBBE9" w:themeFill="accent2" w:themeFillTint="40"/>
      </w:tcPr>
    </w:tblStylePr>
    <w:tblStylePr w:type="band1Horz">
      <w:rPr>
        <w:rFonts w:ascii="Arial" w:hAnsi="Arial"/>
        <w:color w:val="635ECB" w:themeColor="accent2" w:themeTint="97" w:themeShade="95"/>
        <w:sz w:val="22"/>
      </w:rPr>
      <w:tblPr/>
      <w:tcPr>
        <w:shd w:val="clear" w:color="BDBBE9" w:themeColor="accent2" w:themeTint="40" w:fill="BDBBE9" w:themeFill="accent2" w:themeFillTint="40"/>
      </w:tcPr>
    </w:tblStylePr>
    <w:tblStylePr w:type="band2Horz">
      <w:rPr>
        <w:rFonts w:ascii="Arial" w:hAnsi="Arial"/>
        <w:color w:val="635ECB"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FE095" w:themeColor="accent3" w:themeTint="98"/>
        <w:bottom w:val="single" w:sz="4" w:space="0" w:color="CFE095" w:themeColor="accent3" w:themeTint="98"/>
      </w:tblBorders>
    </w:tblPr>
    <w:tblStylePr w:type="firstRow">
      <w:rPr>
        <w:b/>
        <w:color w:val="CFE095" w:themeColor="accent3" w:themeTint="98" w:themeShade="95"/>
      </w:rPr>
      <w:tblPr/>
      <w:tcPr>
        <w:tcBorders>
          <w:bottom w:val="single" w:sz="4" w:space="0" w:color="CFE095" w:themeColor="accent3" w:themeTint="98"/>
        </w:tcBorders>
      </w:tcPr>
    </w:tblStylePr>
    <w:tblStylePr w:type="lastRow">
      <w:rPr>
        <w:b/>
        <w:color w:val="CFE095" w:themeColor="accent3" w:themeTint="98" w:themeShade="95"/>
      </w:rPr>
      <w:tblPr/>
      <w:tcPr>
        <w:tcBorders>
          <w:top w:val="single" w:sz="4" w:space="0" w:color="CFE095" w:themeColor="accent3" w:themeTint="98"/>
        </w:tcBorders>
      </w:tcPr>
    </w:tblStylePr>
    <w:tblStylePr w:type="firstCol">
      <w:rPr>
        <w:b/>
        <w:color w:val="CFE095" w:themeColor="accent3" w:themeTint="98" w:themeShade="95"/>
      </w:rPr>
    </w:tblStylePr>
    <w:tblStylePr w:type="lastCol">
      <w:rPr>
        <w:b/>
        <w:color w:val="CFE095" w:themeColor="accent3" w:themeTint="98" w:themeShade="95"/>
      </w:rPr>
    </w:tblStylePr>
    <w:tblStylePr w:type="band1Vert">
      <w:tblPr/>
      <w:tcPr>
        <w:shd w:val="clear" w:color="EBF2D2" w:themeColor="accent3" w:themeTint="40" w:fill="EBF2D2" w:themeFill="accent3" w:themeFillTint="40"/>
      </w:tcPr>
    </w:tblStylePr>
    <w:tblStylePr w:type="band1Horz">
      <w:rPr>
        <w:rFonts w:ascii="Arial" w:hAnsi="Arial"/>
        <w:color w:val="CFE095" w:themeColor="accent3" w:themeTint="98" w:themeShade="95"/>
        <w:sz w:val="22"/>
      </w:rPr>
      <w:tblPr/>
      <w:tcPr>
        <w:shd w:val="clear" w:color="EBF2D2" w:themeColor="accent3" w:themeTint="40" w:fill="EBF2D2" w:themeFill="accent3" w:themeFillTint="40"/>
      </w:tcPr>
    </w:tblStylePr>
    <w:tblStylePr w:type="band2Horz">
      <w:rPr>
        <w:rFonts w:ascii="Arial" w:hAnsi="Arial"/>
        <w:color w:val="CFE095"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FDF2B0" w:themeColor="accent4" w:themeTint="9A"/>
        <w:bottom w:val="single" w:sz="4" w:space="0" w:color="FDF2B0" w:themeColor="accent4" w:themeTint="9A"/>
      </w:tblBorders>
    </w:tblPr>
    <w:tblStylePr w:type="firstRow">
      <w:rPr>
        <w:b/>
        <w:color w:val="FDF2B0" w:themeColor="accent4" w:themeTint="9A" w:themeShade="95"/>
      </w:rPr>
      <w:tblPr/>
      <w:tcPr>
        <w:tcBorders>
          <w:bottom w:val="single" w:sz="4" w:space="0" w:color="FDF2B0" w:themeColor="accent4" w:themeTint="9A"/>
        </w:tcBorders>
      </w:tcPr>
    </w:tblStylePr>
    <w:tblStylePr w:type="lastRow">
      <w:rPr>
        <w:b/>
        <w:color w:val="FDF2B0" w:themeColor="accent4" w:themeTint="9A" w:themeShade="95"/>
      </w:rPr>
      <w:tblPr/>
      <w:tcPr>
        <w:tcBorders>
          <w:top w:val="single" w:sz="4" w:space="0" w:color="FDF2B0" w:themeColor="accent4" w:themeTint="9A"/>
        </w:tcBorders>
      </w:tcPr>
    </w:tblStylePr>
    <w:tblStylePr w:type="firstCol">
      <w:rPr>
        <w:b/>
        <w:color w:val="FDF2B0" w:themeColor="accent4" w:themeTint="9A" w:themeShade="95"/>
      </w:rPr>
    </w:tblStylePr>
    <w:tblStylePr w:type="lastCol">
      <w:rPr>
        <w:b/>
        <w:color w:val="FDF2B0" w:themeColor="accent4" w:themeTint="9A" w:themeShade="95"/>
      </w:rPr>
    </w:tblStylePr>
    <w:tblStylePr w:type="band1Vert">
      <w:tblPr/>
      <w:tcPr>
        <w:shd w:val="clear" w:color="FEF9DE" w:themeColor="accent4" w:themeTint="40" w:fill="FEF9DE" w:themeFill="accent4" w:themeFillTint="40"/>
      </w:tcPr>
    </w:tblStylePr>
    <w:tblStylePr w:type="band1Horz">
      <w:rPr>
        <w:rFonts w:ascii="Arial" w:hAnsi="Arial"/>
        <w:color w:val="FDF2B0" w:themeColor="accent4" w:themeTint="9A" w:themeShade="95"/>
        <w:sz w:val="22"/>
      </w:rPr>
      <w:tblPr/>
      <w:tcPr>
        <w:shd w:val="clear" w:color="FEF9DE" w:themeColor="accent4" w:themeTint="40" w:fill="FEF9DE" w:themeFill="accent4" w:themeFillTint="40"/>
      </w:tcPr>
    </w:tblStylePr>
    <w:tblStylePr w:type="band2Horz">
      <w:rPr>
        <w:rFonts w:ascii="Arial" w:hAnsi="Arial"/>
        <w:color w:val="FDF2B0"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B0BFE1" w:themeColor="accent5" w:themeTint="9A"/>
        <w:bottom w:val="single" w:sz="4" w:space="0" w:color="B0BFE1" w:themeColor="accent5" w:themeTint="9A"/>
      </w:tblBorders>
    </w:tblPr>
    <w:tblStylePr w:type="firstRow">
      <w:rPr>
        <w:b/>
        <w:color w:val="B0BFE1" w:themeColor="accent5" w:themeTint="9A" w:themeShade="95"/>
      </w:rPr>
      <w:tblPr/>
      <w:tcPr>
        <w:tcBorders>
          <w:bottom w:val="single" w:sz="4" w:space="0" w:color="B0BFE1" w:themeColor="accent5" w:themeTint="9A"/>
        </w:tcBorders>
      </w:tcPr>
    </w:tblStylePr>
    <w:tblStylePr w:type="lastRow">
      <w:rPr>
        <w:b/>
        <w:color w:val="B0BFE1" w:themeColor="accent5" w:themeTint="9A" w:themeShade="95"/>
      </w:rPr>
      <w:tblPr/>
      <w:tcPr>
        <w:tcBorders>
          <w:top w:val="single" w:sz="4" w:space="0" w:color="B0BFE1" w:themeColor="accent5" w:themeTint="9A"/>
        </w:tcBorders>
      </w:tcPr>
    </w:tblStylePr>
    <w:tblStylePr w:type="firstCol">
      <w:rPr>
        <w:b/>
        <w:color w:val="B0BFE1" w:themeColor="accent5" w:themeTint="9A" w:themeShade="95"/>
      </w:rPr>
    </w:tblStylePr>
    <w:tblStylePr w:type="lastCol">
      <w:rPr>
        <w:b/>
        <w:color w:val="B0BFE1" w:themeColor="accent5" w:themeTint="9A" w:themeShade="95"/>
      </w:rPr>
    </w:tblStylePr>
    <w:tblStylePr w:type="band1Vert">
      <w:tblPr/>
      <w:tcPr>
        <w:shd w:val="clear" w:color="DEE4F2" w:themeColor="accent5" w:themeTint="40" w:fill="DEE4F2" w:themeFill="accent5" w:themeFillTint="40"/>
      </w:tcPr>
    </w:tblStylePr>
    <w:tblStylePr w:type="band1Horz">
      <w:rPr>
        <w:rFonts w:ascii="Arial" w:hAnsi="Arial"/>
        <w:color w:val="B0BFE1" w:themeColor="accent5" w:themeTint="9A" w:themeShade="95"/>
        <w:sz w:val="22"/>
      </w:rPr>
      <w:tblPr/>
      <w:tcPr>
        <w:shd w:val="clear" w:color="DEE4F2" w:themeColor="accent5" w:themeTint="40" w:fill="DEE4F2" w:themeFill="accent5" w:themeFillTint="40"/>
      </w:tcPr>
    </w:tblStylePr>
    <w:tblStylePr w:type="band2Horz">
      <w:rPr>
        <w:rFonts w:ascii="Arial" w:hAnsi="Arial"/>
        <w:color w:val="B0BFE1"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A0D2A4" w:themeColor="accent6" w:themeTint="98"/>
        <w:bottom w:val="single" w:sz="4" w:space="0" w:color="A0D2A4" w:themeColor="accent6" w:themeTint="98"/>
      </w:tblBorders>
    </w:tblPr>
    <w:tblStylePr w:type="firstRow">
      <w:rPr>
        <w:b/>
        <w:color w:val="A0D2A4" w:themeColor="accent6" w:themeTint="98" w:themeShade="95"/>
      </w:rPr>
      <w:tblPr/>
      <w:tcPr>
        <w:tcBorders>
          <w:bottom w:val="single" w:sz="4" w:space="0" w:color="A0D2A4" w:themeColor="accent6" w:themeTint="98"/>
        </w:tcBorders>
      </w:tcPr>
    </w:tblStylePr>
    <w:tblStylePr w:type="lastRow">
      <w:rPr>
        <w:b/>
        <w:color w:val="A0D2A4" w:themeColor="accent6" w:themeTint="98" w:themeShade="95"/>
      </w:rPr>
      <w:tblPr/>
      <w:tcPr>
        <w:tcBorders>
          <w:top w:val="single" w:sz="4" w:space="0" w:color="A0D2A4" w:themeColor="accent6" w:themeTint="98"/>
        </w:tcBorders>
      </w:tcPr>
    </w:tblStylePr>
    <w:tblStylePr w:type="firstCol">
      <w:rPr>
        <w:b/>
        <w:color w:val="A0D2A4" w:themeColor="accent6" w:themeTint="98" w:themeShade="95"/>
      </w:rPr>
    </w:tblStylePr>
    <w:tblStylePr w:type="lastCol">
      <w:rPr>
        <w:b/>
        <w:color w:val="A0D2A4" w:themeColor="accent6" w:themeTint="98" w:themeShade="95"/>
      </w:rPr>
    </w:tblStylePr>
    <w:tblStylePr w:type="band1Vert">
      <w:tblPr/>
      <w:tcPr>
        <w:shd w:val="clear" w:color="D6ECD8" w:themeColor="accent6" w:themeTint="40" w:fill="D6ECD8" w:themeFill="accent6" w:themeFillTint="40"/>
      </w:tcPr>
    </w:tblStylePr>
    <w:tblStylePr w:type="band1Horz">
      <w:rPr>
        <w:rFonts w:ascii="Arial" w:hAnsi="Arial"/>
        <w:color w:val="A0D2A4" w:themeColor="accent6" w:themeTint="98" w:themeShade="95"/>
        <w:sz w:val="22"/>
      </w:rPr>
      <w:tblPr/>
      <w:tcPr>
        <w:shd w:val="clear" w:color="D6ECD8" w:themeColor="accent6" w:themeTint="40" w:fill="D6ECD8" w:themeFill="accent6" w:themeFillTint="40"/>
      </w:tcPr>
    </w:tblStylePr>
    <w:tblStylePr w:type="band2Horz">
      <w:rPr>
        <w:rFonts w:ascii="Arial" w:hAnsi="Arial"/>
        <w:color w:val="A0D2A4"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EF7757" w:themeColor="accent1"/>
      </w:tblBorders>
    </w:tblPr>
    <w:tblStylePr w:type="firstRow">
      <w:rPr>
        <w:rFonts w:ascii="Arial" w:hAnsi="Arial"/>
        <w:i/>
        <w:color w:val="AD3110" w:themeColor="accent1" w:themeShade="95"/>
        <w:sz w:val="22"/>
      </w:rPr>
      <w:tblPr/>
      <w:tcPr>
        <w:tcBorders>
          <w:top w:val="none" w:sz="0" w:space="0" w:color="auto"/>
          <w:left w:val="none" w:sz="0" w:space="0" w:color="auto"/>
          <w:bottom w:val="single" w:sz="4" w:space="0" w:color="EF7757" w:themeColor="accent1"/>
          <w:right w:val="none" w:sz="0" w:space="0" w:color="auto"/>
        </w:tcBorders>
        <w:shd w:val="clear" w:color="FFFFFF" w:themeColor="light1" w:fill="FFFFFF" w:themeFill="light1"/>
      </w:tcPr>
    </w:tblStylePr>
    <w:tblStylePr w:type="lastRow">
      <w:rPr>
        <w:rFonts w:ascii="Arial" w:hAnsi="Arial"/>
        <w:i/>
        <w:color w:val="AD3110" w:themeColor="accent1" w:themeShade="95"/>
        <w:sz w:val="22"/>
      </w:rPr>
      <w:tblPr/>
      <w:tcPr>
        <w:tcBorders>
          <w:top w:val="single" w:sz="4" w:space="0" w:color="EF7757"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D3110" w:themeColor="accent1" w:themeShade="95"/>
        <w:sz w:val="22"/>
      </w:rPr>
      <w:tblPr/>
      <w:tcPr>
        <w:tcBorders>
          <w:top w:val="none" w:sz="0" w:space="0" w:color="auto"/>
          <w:left w:val="none" w:sz="0" w:space="0" w:color="auto"/>
          <w:bottom w:val="none" w:sz="0" w:space="0" w:color="auto"/>
          <w:right w:val="single" w:sz="4" w:space="0" w:color="EF7757" w:themeColor="accent1"/>
        </w:tcBorders>
        <w:shd w:val="clear" w:color="FFFFFF" w:fill="auto"/>
      </w:tcPr>
    </w:tblStylePr>
    <w:tblStylePr w:type="lastCol">
      <w:rPr>
        <w:rFonts w:ascii="Arial" w:hAnsi="Arial"/>
        <w:i/>
        <w:color w:val="AD3110" w:themeColor="accent1" w:themeShade="95"/>
        <w:sz w:val="22"/>
      </w:rPr>
      <w:tblPr/>
      <w:tcPr>
        <w:tcBorders>
          <w:top w:val="none" w:sz="0" w:space="0" w:color="auto"/>
          <w:left w:val="single" w:sz="4" w:space="0" w:color="EF7757" w:themeColor="accent1"/>
          <w:bottom w:val="none" w:sz="0" w:space="0" w:color="auto"/>
          <w:right w:val="none" w:sz="0" w:space="0" w:color="auto"/>
        </w:tcBorders>
        <w:shd w:val="clear" w:color="FFFFFF" w:fill="auto"/>
      </w:tcPr>
    </w:tblStylePr>
    <w:tblStylePr w:type="band1Vert">
      <w:tblPr/>
      <w:tcPr>
        <w:shd w:val="clear" w:color="FBDCD4" w:themeColor="accent1" w:themeTint="40" w:fill="FBDCD4" w:themeFill="accent1" w:themeFillTint="40"/>
      </w:tcPr>
    </w:tblStylePr>
    <w:tblStylePr w:type="band1Horz">
      <w:rPr>
        <w:rFonts w:ascii="Arial" w:hAnsi="Arial"/>
        <w:color w:val="AD3110" w:themeColor="accent1" w:themeShade="95"/>
        <w:sz w:val="22"/>
      </w:rPr>
      <w:tblPr/>
      <w:tcPr>
        <w:shd w:val="clear" w:color="FBDCD4" w:themeColor="accent1" w:themeTint="40" w:fill="FBDCD4" w:themeFill="accent1" w:themeFillTint="40"/>
      </w:tcPr>
    </w:tblStylePr>
    <w:tblStylePr w:type="band2Horz">
      <w:rPr>
        <w:rFonts w:ascii="Arial" w:hAnsi="Arial"/>
        <w:color w:val="AD3110"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635ECB" w:themeColor="accent2" w:themeTint="97"/>
      </w:tblBorders>
    </w:tblPr>
    <w:tblStylePr w:type="firstRow">
      <w:rPr>
        <w:rFonts w:ascii="Arial" w:hAnsi="Arial"/>
        <w:i/>
        <w:color w:val="635ECB" w:themeColor="accent2" w:themeTint="97" w:themeShade="95"/>
        <w:sz w:val="22"/>
      </w:rPr>
      <w:tblPr/>
      <w:tcPr>
        <w:tcBorders>
          <w:top w:val="none" w:sz="0" w:space="0" w:color="auto"/>
          <w:left w:val="none" w:sz="0" w:space="0" w:color="auto"/>
          <w:bottom w:val="single" w:sz="4" w:space="0" w:color="635ECB" w:themeColor="accent2" w:themeTint="97"/>
          <w:right w:val="none" w:sz="0" w:space="0" w:color="auto"/>
        </w:tcBorders>
        <w:shd w:val="clear" w:color="FFFFFF" w:themeColor="light1" w:fill="FFFFFF" w:themeFill="light1"/>
      </w:tcPr>
    </w:tblStylePr>
    <w:tblStylePr w:type="lastRow">
      <w:rPr>
        <w:rFonts w:ascii="Arial" w:hAnsi="Arial"/>
        <w:i/>
        <w:color w:val="635ECB" w:themeColor="accent2" w:themeTint="97" w:themeShade="95"/>
        <w:sz w:val="22"/>
      </w:rPr>
      <w:tblPr/>
      <w:tcPr>
        <w:tcBorders>
          <w:top w:val="single" w:sz="4" w:space="0" w:color="635ECB"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35ECB" w:themeColor="accent2" w:themeTint="97" w:themeShade="95"/>
        <w:sz w:val="22"/>
      </w:rPr>
      <w:tblPr/>
      <w:tcPr>
        <w:tcBorders>
          <w:top w:val="none" w:sz="0" w:space="0" w:color="auto"/>
          <w:left w:val="none" w:sz="0" w:space="0" w:color="auto"/>
          <w:bottom w:val="none" w:sz="0" w:space="0" w:color="auto"/>
          <w:right w:val="single" w:sz="4" w:space="0" w:color="635ECB" w:themeColor="accent2" w:themeTint="97"/>
        </w:tcBorders>
        <w:shd w:val="clear" w:color="FFFFFF" w:fill="auto"/>
      </w:tcPr>
    </w:tblStylePr>
    <w:tblStylePr w:type="lastCol">
      <w:rPr>
        <w:rFonts w:ascii="Arial" w:hAnsi="Arial"/>
        <w:i/>
        <w:color w:val="635ECB" w:themeColor="accent2" w:themeTint="97" w:themeShade="95"/>
        <w:sz w:val="22"/>
      </w:rPr>
      <w:tblPr/>
      <w:tcPr>
        <w:tcBorders>
          <w:top w:val="none" w:sz="0" w:space="0" w:color="auto"/>
          <w:left w:val="single" w:sz="4" w:space="0" w:color="635ECB" w:themeColor="accent2" w:themeTint="97"/>
          <w:bottom w:val="none" w:sz="0" w:space="0" w:color="auto"/>
          <w:right w:val="none" w:sz="0" w:space="0" w:color="auto"/>
        </w:tcBorders>
        <w:shd w:val="clear" w:color="FFFFFF" w:fill="auto"/>
      </w:tcPr>
    </w:tblStylePr>
    <w:tblStylePr w:type="band1Vert">
      <w:tblPr/>
      <w:tcPr>
        <w:shd w:val="clear" w:color="BDBBE9" w:themeColor="accent2" w:themeTint="40" w:fill="BDBBE9" w:themeFill="accent2" w:themeFillTint="40"/>
      </w:tcPr>
    </w:tblStylePr>
    <w:tblStylePr w:type="band1Horz">
      <w:rPr>
        <w:rFonts w:ascii="Arial" w:hAnsi="Arial"/>
        <w:color w:val="635ECB" w:themeColor="accent2" w:themeTint="97" w:themeShade="95"/>
        <w:sz w:val="22"/>
      </w:rPr>
      <w:tblPr/>
      <w:tcPr>
        <w:shd w:val="clear" w:color="BDBBE9" w:themeColor="accent2" w:themeTint="40" w:fill="BDBBE9" w:themeFill="accent2" w:themeFillTint="40"/>
      </w:tcPr>
    </w:tblStylePr>
    <w:tblStylePr w:type="band2Horz">
      <w:rPr>
        <w:rFonts w:ascii="Arial" w:hAnsi="Arial"/>
        <w:color w:val="635ECB"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FE095" w:themeColor="accent3" w:themeTint="98"/>
      </w:tblBorders>
    </w:tblPr>
    <w:tblStylePr w:type="firstRow">
      <w:rPr>
        <w:rFonts w:ascii="Arial" w:hAnsi="Arial"/>
        <w:i/>
        <w:color w:val="CFE095" w:themeColor="accent3" w:themeTint="98" w:themeShade="95"/>
        <w:sz w:val="22"/>
      </w:rPr>
      <w:tblPr/>
      <w:tcPr>
        <w:tcBorders>
          <w:top w:val="none" w:sz="0" w:space="0" w:color="auto"/>
          <w:left w:val="none" w:sz="0" w:space="0" w:color="auto"/>
          <w:bottom w:val="single" w:sz="4" w:space="0" w:color="CFE095" w:themeColor="accent3" w:themeTint="98"/>
          <w:right w:val="none" w:sz="0" w:space="0" w:color="auto"/>
        </w:tcBorders>
        <w:shd w:val="clear" w:color="FFFFFF" w:themeColor="light1" w:fill="FFFFFF" w:themeFill="light1"/>
      </w:tcPr>
    </w:tblStylePr>
    <w:tblStylePr w:type="lastRow">
      <w:rPr>
        <w:rFonts w:ascii="Arial" w:hAnsi="Arial"/>
        <w:i/>
        <w:color w:val="CFE095" w:themeColor="accent3" w:themeTint="98" w:themeShade="95"/>
        <w:sz w:val="22"/>
      </w:rPr>
      <w:tblPr/>
      <w:tcPr>
        <w:tcBorders>
          <w:top w:val="single" w:sz="4" w:space="0" w:color="CFE095"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FE095" w:themeColor="accent3" w:themeTint="98" w:themeShade="95"/>
        <w:sz w:val="22"/>
      </w:rPr>
      <w:tblPr/>
      <w:tcPr>
        <w:tcBorders>
          <w:top w:val="none" w:sz="0" w:space="0" w:color="auto"/>
          <w:left w:val="none" w:sz="0" w:space="0" w:color="auto"/>
          <w:bottom w:val="none" w:sz="0" w:space="0" w:color="auto"/>
          <w:right w:val="single" w:sz="4" w:space="0" w:color="CFE095" w:themeColor="accent3" w:themeTint="98"/>
        </w:tcBorders>
        <w:shd w:val="clear" w:color="FFFFFF" w:fill="auto"/>
      </w:tcPr>
    </w:tblStylePr>
    <w:tblStylePr w:type="lastCol">
      <w:rPr>
        <w:rFonts w:ascii="Arial" w:hAnsi="Arial"/>
        <w:i/>
        <w:color w:val="CFE095" w:themeColor="accent3" w:themeTint="98" w:themeShade="95"/>
        <w:sz w:val="22"/>
      </w:rPr>
      <w:tblPr/>
      <w:tcPr>
        <w:tcBorders>
          <w:top w:val="none" w:sz="0" w:space="0" w:color="auto"/>
          <w:left w:val="single" w:sz="4" w:space="0" w:color="CFE095" w:themeColor="accent3" w:themeTint="98"/>
          <w:bottom w:val="none" w:sz="0" w:space="0" w:color="auto"/>
          <w:right w:val="none" w:sz="0" w:space="0" w:color="auto"/>
        </w:tcBorders>
        <w:shd w:val="clear" w:color="FFFFFF" w:fill="auto"/>
      </w:tcPr>
    </w:tblStylePr>
    <w:tblStylePr w:type="band1Vert">
      <w:tblPr/>
      <w:tcPr>
        <w:shd w:val="clear" w:color="EBF2D2" w:themeColor="accent3" w:themeTint="40" w:fill="EBF2D2" w:themeFill="accent3" w:themeFillTint="40"/>
      </w:tcPr>
    </w:tblStylePr>
    <w:tblStylePr w:type="band1Horz">
      <w:rPr>
        <w:rFonts w:ascii="Arial" w:hAnsi="Arial"/>
        <w:color w:val="CFE095" w:themeColor="accent3" w:themeTint="98" w:themeShade="95"/>
        <w:sz w:val="22"/>
      </w:rPr>
      <w:tblPr/>
      <w:tcPr>
        <w:shd w:val="clear" w:color="EBF2D2" w:themeColor="accent3" w:themeTint="40" w:fill="EBF2D2" w:themeFill="accent3" w:themeFillTint="40"/>
      </w:tcPr>
    </w:tblStylePr>
    <w:tblStylePr w:type="band2Horz">
      <w:rPr>
        <w:rFonts w:ascii="Arial" w:hAnsi="Arial"/>
        <w:color w:val="CFE095"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FDF2B0" w:themeColor="accent4" w:themeTint="9A"/>
      </w:tblBorders>
    </w:tblPr>
    <w:tblStylePr w:type="firstRow">
      <w:rPr>
        <w:rFonts w:ascii="Arial" w:hAnsi="Arial"/>
        <w:i/>
        <w:color w:val="FDF2B0" w:themeColor="accent4" w:themeTint="9A" w:themeShade="95"/>
        <w:sz w:val="22"/>
      </w:rPr>
      <w:tblPr/>
      <w:tcPr>
        <w:tcBorders>
          <w:top w:val="none" w:sz="0" w:space="0" w:color="auto"/>
          <w:left w:val="none" w:sz="0" w:space="0" w:color="auto"/>
          <w:bottom w:val="single" w:sz="4" w:space="0" w:color="FDF2B0" w:themeColor="accent4" w:themeTint="9A"/>
          <w:right w:val="none" w:sz="0" w:space="0" w:color="auto"/>
        </w:tcBorders>
        <w:shd w:val="clear" w:color="FFFFFF" w:themeColor="light1" w:fill="FFFFFF" w:themeFill="light1"/>
      </w:tcPr>
    </w:tblStylePr>
    <w:tblStylePr w:type="lastRow">
      <w:rPr>
        <w:rFonts w:ascii="Arial" w:hAnsi="Arial"/>
        <w:i/>
        <w:color w:val="FDF2B0" w:themeColor="accent4" w:themeTint="9A" w:themeShade="95"/>
        <w:sz w:val="22"/>
      </w:rPr>
      <w:tblPr/>
      <w:tcPr>
        <w:tcBorders>
          <w:top w:val="single" w:sz="4" w:space="0" w:color="FDF2B0"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DF2B0" w:themeColor="accent4" w:themeTint="9A" w:themeShade="95"/>
        <w:sz w:val="22"/>
      </w:rPr>
      <w:tblPr/>
      <w:tcPr>
        <w:tcBorders>
          <w:top w:val="none" w:sz="0" w:space="0" w:color="auto"/>
          <w:left w:val="none" w:sz="0" w:space="0" w:color="auto"/>
          <w:bottom w:val="none" w:sz="0" w:space="0" w:color="auto"/>
          <w:right w:val="single" w:sz="4" w:space="0" w:color="FDF2B0" w:themeColor="accent4" w:themeTint="9A"/>
        </w:tcBorders>
        <w:shd w:val="clear" w:color="FFFFFF" w:fill="auto"/>
      </w:tcPr>
    </w:tblStylePr>
    <w:tblStylePr w:type="lastCol">
      <w:rPr>
        <w:rFonts w:ascii="Arial" w:hAnsi="Arial"/>
        <w:i/>
        <w:color w:val="FDF2B0" w:themeColor="accent4" w:themeTint="9A" w:themeShade="95"/>
        <w:sz w:val="22"/>
      </w:rPr>
      <w:tblPr/>
      <w:tcPr>
        <w:tcBorders>
          <w:top w:val="none" w:sz="0" w:space="0" w:color="auto"/>
          <w:left w:val="single" w:sz="4" w:space="0" w:color="FDF2B0" w:themeColor="accent4" w:themeTint="9A"/>
          <w:bottom w:val="none" w:sz="0" w:space="0" w:color="auto"/>
          <w:right w:val="none" w:sz="0" w:space="0" w:color="auto"/>
        </w:tcBorders>
        <w:shd w:val="clear" w:color="FFFFFF" w:fill="auto"/>
      </w:tcPr>
    </w:tblStylePr>
    <w:tblStylePr w:type="band1Vert">
      <w:tblPr/>
      <w:tcPr>
        <w:shd w:val="clear" w:color="FEF9DE" w:themeColor="accent4" w:themeTint="40" w:fill="FEF9DE" w:themeFill="accent4" w:themeFillTint="40"/>
      </w:tcPr>
    </w:tblStylePr>
    <w:tblStylePr w:type="band1Horz">
      <w:rPr>
        <w:rFonts w:ascii="Arial" w:hAnsi="Arial"/>
        <w:color w:val="FDF2B0" w:themeColor="accent4" w:themeTint="9A" w:themeShade="95"/>
        <w:sz w:val="22"/>
      </w:rPr>
      <w:tblPr/>
      <w:tcPr>
        <w:shd w:val="clear" w:color="FEF9DE" w:themeColor="accent4" w:themeTint="40" w:fill="FEF9DE" w:themeFill="accent4" w:themeFillTint="40"/>
      </w:tcPr>
    </w:tblStylePr>
    <w:tblStylePr w:type="band2Horz">
      <w:rPr>
        <w:rFonts w:ascii="Arial" w:hAnsi="Arial"/>
        <w:color w:val="FDF2B0"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B0BFE1" w:themeColor="accent5" w:themeTint="9A"/>
      </w:tblBorders>
    </w:tblPr>
    <w:tblStylePr w:type="firstRow">
      <w:rPr>
        <w:rFonts w:ascii="Arial" w:hAnsi="Arial"/>
        <w:i/>
        <w:color w:val="B0BFE1" w:themeColor="accent5" w:themeTint="9A" w:themeShade="95"/>
        <w:sz w:val="22"/>
      </w:rPr>
      <w:tblPr/>
      <w:tcPr>
        <w:tcBorders>
          <w:top w:val="none" w:sz="0" w:space="0" w:color="auto"/>
          <w:left w:val="none" w:sz="0" w:space="0" w:color="auto"/>
          <w:bottom w:val="single" w:sz="4" w:space="0" w:color="B0BFE1" w:themeColor="accent5" w:themeTint="9A"/>
          <w:right w:val="none" w:sz="0" w:space="0" w:color="auto"/>
        </w:tcBorders>
        <w:shd w:val="clear" w:color="FFFFFF" w:themeColor="light1" w:fill="FFFFFF" w:themeFill="light1"/>
      </w:tcPr>
    </w:tblStylePr>
    <w:tblStylePr w:type="lastRow">
      <w:rPr>
        <w:rFonts w:ascii="Arial" w:hAnsi="Arial"/>
        <w:i/>
        <w:color w:val="B0BFE1" w:themeColor="accent5" w:themeTint="9A" w:themeShade="95"/>
        <w:sz w:val="22"/>
      </w:rPr>
      <w:tblPr/>
      <w:tcPr>
        <w:tcBorders>
          <w:top w:val="single" w:sz="4" w:space="0" w:color="B0BFE1"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0BFE1" w:themeColor="accent5" w:themeTint="9A" w:themeShade="95"/>
        <w:sz w:val="22"/>
      </w:rPr>
      <w:tblPr/>
      <w:tcPr>
        <w:tcBorders>
          <w:top w:val="none" w:sz="0" w:space="0" w:color="auto"/>
          <w:left w:val="none" w:sz="0" w:space="0" w:color="auto"/>
          <w:bottom w:val="none" w:sz="0" w:space="0" w:color="auto"/>
          <w:right w:val="single" w:sz="4" w:space="0" w:color="B0BFE1" w:themeColor="accent5" w:themeTint="9A"/>
        </w:tcBorders>
        <w:shd w:val="clear" w:color="FFFFFF" w:fill="auto"/>
      </w:tcPr>
    </w:tblStylePr>
    <w:tblStylePr w:type="lastCol">
      <w:rPr>
        <w:rFonts w:ascii="Arial" w:hAnsi="Arial"/>
        <w:i/>
        <w:color w:val="B0BFE1" w:themeColor="accent5" w:themeTint="9A" w:themeShade="95"/>
        <w:sz w:val="22"/>
      </w:rPr>
      <w:tblPr/>
      <w:tcPr>
        <w:tcBorders>
          <w:top w:val="none" w:sz="0" w:space="0" w:color="auto"/>
          <w:left w:val="single" w:sz="4" w:space="0" w:color="B0BFE1" w:themeColor="accent5" w:themeTint="9A"/>
          <w:bottom w:val="none" w:sz="0" w:space="0" w:color="auto"/>
          <w:right w:val="none" w:sz="0" w:space="0" w:color="auto"/>
        </w:tcBorders>
        <w:shd w:val="clear" w:color="FFFFFF" w:fill="auto"/>
      </w:tcPr>
    </w:tblStylePr>
    <w:tblStylePr w:type="band1Vert">
      <w:tblPr/>
      <w:tcPr>
        <w:shd w:val="clear" w:color="DEE4F2" w:themeColor="accent5" w:themeTint="40" w:fill="DEE4F2" w:themeFill="accent5" w:themeFillTint="40"/>
      </w:tcPr>
    </w:tblStylePr>
    <w:tblStylePr w:type="band1Horz">
      <w:rPr>
        <w:rFonts w:ascii="Arial" w:hAnsi="Arial"/>
        <w:color w:val="B0BFE1" w:themeColor="accent5" w:themeTint="9A" w:themeShade="95"/>
        <w:sz w:val="22"/>
      </w:rPr>
      <w:tblPr/>
      <w:tcPr>
        <w:shd w:val="clear" w:color="DEE4F2" w:themeColor="accent5" w:themeTint="40" w:fill="DEE4F2" w:themeFill="accent5" w:themeFillTint="40"/>
      </w:tcPr>
    </w:tblStylePr>
    <w:tblStylePr w:type="band2Horz">
      <w:rPr>
        <w:rFonts w:ascii="Arial" w:hAnsi="Arial"/>
        <w:color w:val="B0BFE1"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A0D2A4" w:themeColor="accent6" w:themeTint="98"/>
      </w:tblBorders>
    </w:tblPr>
    <w:tblStylePr w:type="firstRow">
      <w:rPr>
        <w:rFonts w:ascii="Arial" w:hAnsi="Arial"/>
        <w:i/>
        <w:color w:val="A0D2A4" w:themeColor="accent6" w:themeTint="98" w:themeShade="95"/>
        <w:sz w:val="22"/>
      </w:rPr>
      <w:tblPr/>
      <w:tcPr>
        <w:tcBorders>
          <w:top w:val="none" w:sz="0" w:space="0" w:color="auto"/>
          <w:left w:val="none" w:sz="0" w:space="0" w:color="auto"/>
          <w:bottom w:val="single" w:sz="4" w:space="0" w:color="A0D2A4" w:themeColor="accent6" w:themeTint="98"/>
          <w:right w:val="none" w:sz="0" w:space="0" w:color="auto"/>
        </w:tcBorders>
        <w:shd w:val="clear" w:color="FFFFFF" w:themeColor="light1" w:fill="FFFFFF" w:themeFill="light1"/>
      </w:tcPr>
    </w:tblStylePr>
    <w:tblStylePr w:type="lastRow">
      <w:rPr>
        <w:rFonts w:ascii="Arial" w:hAnsi="Arial"/>
        <w:i/>
        <w:color w:val="A0D2A4" w:themeColor="accent6" w:themeTint="98" w:themeShade="95"/>
        <w:sz w:val="22"/>
      </w:rPr>
      <w:tblPr/>
      <w:tcPr>
        <w:tcBorders>
          <w:top w:val="single" w:sz="4" w:space="0" w:color="A0D2A4"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D2A4" w:themeColor="accent6" w:themeTint="98" w:themeShade="95"/>
        <w:sz w:val="22"/>
      </w:rPr>
      <w:tblPr/>
      <w:tcPr>
        <w:tcBorders>
          <w:top w:val="none" w:sz="0" w:space="0" w:color="auto"/>
          <w:left w:val="none" w:sz="0" w:space="0" w:color="auto"/>
          <w:bottom w:val="none" w:sz="0" w:space="0" w:color="auto"/>
          <w:right w:val="single" w:sz="4" w:space="0" w:color="A0D2A4" w:themeColor="accent6" w:themeTint="98"/>
        </w:tcBorders>
        <w:shd w:val="clear" w:color="FFFFFF" w:fill="auto"/>
      </w:tcPr>
    </w:tblStylePr>
    <w:tblStylePr w:type="lastCol">
      <w:rPr>
        <w:rFonts w:ascii="Arial" w:hAnsi="Arial"/>
        <w:i/>
        <w:color w:val="A0D2A4" w:themeColor="accent6" w:themeTint="98" w:themeShade="95"/>
        <w:sz w:val="22"/>
      </w:rPr>
      <w:tblPr/>
      <w:tcPr>
        <w:tcBorders>
          <w:top w:val="none" w:sz="0" w:space="0" w:color="auto"/>
          <w:left w:val="single" w:sz="4" w:space="0" w:color="A0D2A4" w:themeColor="accent6" w:themeTint="98"/>
          <w:bottom w:val="none" w:sz="0" w:space="0" w:color="auto"/>
          <w:right w:val="none" w:sz="0" w:space="0" w:color="auto"/>
        </w:tcBorders>
        <w:shd w:val="clear" w:color="FFFFFF" w:fill="auto"/>
      </w:tcPr>
    </w:tblStylePr>
    <w:tblStylePr w:type="band1Vert">
      <w:tblPr/>
      <w:tcPr>
        <w:shd w:val="clear" w:color="D6ECD8" w:themeColor="accent6" w:themeTint="40" w:fill="D6ECD8" w:themeFill="accent6" w:themeFillTint="40"/>
      </w:tcPr>
    </w:tblStylePr>
    <w:tblStylePr w:type="band1Horz">
      <w:rPr>
        <w:rFonts w:ascii="Arial" w:hAnsi="Arial"/>
        <w:color w:val="A0D2A4" w:themeColor="accent6" w:themeTint="98" w:themeShade="95"/>
        <w:sz w:val="22"/>
      </w:rPr>
      <w:tblPr/>
      <w:tcPr>
        <w:shd w:val="clear" w:color="D6ECD8" w:themeColor="accent6" w:themeTint="40" w:fill="D6ECD8" w:themeFill="accent6" w:themeFillTint="40"/>
      </w:tcPr>
    </w:tblStylePr>
    <w:tblStylePr w:type="band2Horz">
      <w:rPr>
        <w:rFonts w:ascii="Arial" w:hAnsi="Arial"/>
        <w:color w:val="A0D2A4" w:themeColor="accent6" w:themeTint="98" w:themeShade="95"/>
        <w:sz w:val="22"/>
      </w:rPr>
    </w:tblStylePr>
  </w:style>
  <w:style w:type="table" w:customStyle="1" w:styleId="Lined-Accent">
    <w:name w:val="Lined - Accent"/>
    <w:basedOn w:val="TableauNormal"/>
    <w:uiPriority w:val="99"/>
    <w:rPr>
      <w:color w:val="404040"/>
      <w:sz w:val="20"/>
      <w:szCs w:val="20"/>
      <w:lang w:eastAsia="fr-F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sz w:val="20"/>
      <w:szCs w:val="20"/>
      <w:lang w:eastAsia="fr-FR"/>
    </w:rPr>
    <w:tblPr>
      <w:tblStyleRowBandSize w:val="1"/>
      <w:tblStyleColBandSize w:val="1"/>
    </w:tblPr>
    <w:tblStylePr w:type="firstRow">
      <w:rPr>
        <w:rFonts w:ascii="Arial" w:hAnsi="Arial"/>
        <w:color w:val="F2F2F2"/>
        <w:sz w:val="22"/>
      </w:rPr>
      <w:tblPr/>
      <w:tcPr>
        <w:shd w:val="clear" w:color="F08164" w:themeColor="accent1" w:themeTint="EA" w:fill="F08164" w:themeFill="accent1" w:themeFillTint="EA"/>
      </w:tcPr>
    </w:tblStylePr>
    <w:tblStylePr w:type="lastRow">
      <w:rPr>
        <w:rFonts w:ascii="Arial" w:hAnsi="Arial"/>
        <w:color w:val="F2F2F2"/>
        <w:sz w:val="22"/>
      </w:rPr>
      <w:tblPr/>
      <w:tcPr>
        <w:shd w:val="clear" w:color="F08164" w:themeColor="accent1" w:themeTint="EA" w:fill="F08164" w:themeFill="accent1" w:themeFillTint="EA"/>
      </w:tcPr>
    </w:tblStylePr>
    <w:tblStylePr w:type="firstCol">
      <w:rPr>
        <w:rFonts w:ascii="Arial" w:hAnsi="Arial"/>
        <w:color w:val="F2F2F2"/>
        <w:sz w:val="22"/>
      </w:rPr>
      <w:tblPr/>
      <w:tcPr>
        <w:shd w:val="clear" w:color="F08164" w:themeColor="accent1" w:themeTint="EA" w:fill="F08164" w:themeFill="accent1" w:themeFillTint="EA"/>
      </w:tcPr>
    </w:tblStylePr>
    <w:tblStylePr w:type="lastCol">
      <w:rPr>
        <w:rFonts w:ascii="Arial" w:hAnsi="Arial"/>
        <w:color w:val="F2F2F2"/>
        <w:sz w:val="22"/>
      </w:rPr>
      <w:tblPr/>
      <w:tcPr>
        <w:shd w:val="clear" w:color="F08164" w:themeColor="accent1" w:themeTint="EA" w:fill="F08164"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AD3CA" w:themeColor="accent1" w:themeTint="50" w:fill="FAD3C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AD3CA" w:themeColor="accent1" w:themeTint="50" w:fill="FAD3CA" w:themeFill="accent1" w:themeFillTint="50"/>
      </w:tcPr>
    </w:tblStylePr>
  </w:style>
  <w:style w:type="table" w:customStyle="1" w:styleId="Lined-Accent2">
    <w:name w:val="Lined - Accent 2"/>
    <w:basedOn w:val="TableauNormal"/>
    <w:uiPriority w:val="99"/>
    <w:rPr>
      <w:color w:val="404040"/>
      <w:sz w:val="20"/>
      <w:szCs w:val="20"/>
      <w:lang w:eastAsia="fr-FR"/>
    </w:rPr>
    <w:tblPr>
      <w:tblStyleRowBandSize w:val="1"/>
      <w:tblStyleColBandSize w:val="1"/>
    </w:tblPr>
    <w:tblStylePr w:type="firstRow">
      <w:rPr>
        <w:rFonts w:ascii="Arial" w:hAnsi="Arial"/>
        <w:color w:val="F2F2F2"/>
        <w:sz w:val="22"/>
      </w:rPr>
      <w:tblPr/>
      <w:tcPr>
        <w:shd w:val="clear" w:color="635ECB" w:themeColor="accent2" w:themeTint="97" w:fill="635ECB" w:themeFill="accent2" w:themeFillTint="97"/>
      </w:tcPr>
    </w:tblStylePr>
    <w:tblStylePr w:type="lastRow">
      <w:rPr>
        <w:rFonts w:ascii="Arial" w:hAnsi="Arial"/>
        <w:color w:val="F2F2F2"/>
        <w:sz w:val="22"/>
      </w:rPr>
      <w:tblPr/>
      <w:tcPr>
        <w:shd w:val="clear" w:color="635ECB" w:themeColor="accent2" w:themeTint="97" w:fill="635ECB" w:themeFill="accent2" w:themeFillTint="97"/>
      </w:tcPr>
    </w:tblStylePr>
    <w:tblStylePr w:type="firstCol">
      <w:rPr>
        <w:rFonts w:ascii="Arial" w:hAnsi="Arial"/>
        <w:color w:val="F2F2F2"/>
        <w:sz w:val="22"/>
      </w:rPr>
      <w:tblPr/>
      <w:tcPr>
        <w:shd w:val="clear" w:color="635ECB" w:themeColor="accent2" w:themeTint="97" w:fill="635ECB" w:themeFill="accent2" w:themeFillTint="97"/>
      </w:tcPr>
    </w:tblStylePr>
    <w:tblStylePr w:type="lastCol">
      <w:rPr>
        <w:rFonts w:ascii="Arial" w:hAnsi="Arial"/>
        <w:color w:val="F2F2F2"/>
        <w:sz w:val="22"/>
      </w:rPr>
      <w:tblPr/>
      <w:tcPr>
        <w:shd w:val="clear" w:color="635ECB" w:themeColor="accent2" w:themeTint="97" w:fill="635ECB"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CBC9EE" w:themeColor="accent2" w:themeTint="32" w:fill="CBC9EE"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CBC9EE" w:themeColor="accent2" w:themeTint="32" w:fill="CBC9EE" w:themeFill="accent2" w:themeFillTint="32"/>
      </w:tcPr>
    </w:tblStylePr>
  </w:style>
  <w:style w:type="table" w:customStyle="1" w:styleId="Lined-Accent3">
    <w:name w:val="Lined - Accent 3"/>
    <w:basedOn w:val="TableauNormal"/>
    <w:uiPriority w:val="99"/>
    <w:rPr>
      <w:color w:val="404040"/>
      <w:sz w:val="20"/>
      <w:szCs w:val="20"/>
      <w:lang w:eastAsia="fr-FR"/>
    </w:rPr>
    <w:tblPr>
      <w:tblStyleRowBandSize w:val="1"/>
      <w:tblStyleColBandSize w:val="1"/>
    </w:tblPr>
    <w:tblStylePr w:type="firstRow">
      <w:rPr>
        <w:rFonts w:ascii="Arial" w:hAnsi="Arial"/>
        <w:color w:val="F2F2F2"/>
        <w:sz w:val="22"/>
      </w:rPr>
      <w:tblPr/>
      <w:tcPr>
        <w:shd w:val="clear" w:color="B0CC4E" w:themeColor="accent3" w:themeTint="FE" w:fill="B0CC4E" w:themeFill="accent3" w:themeFillTint="FE"/>
      </w:tcPr>
    </w:tblStylePr>
    <w:tblStylePr w:type="lastRow">
      <w:rPr>
        <w:rFonts w:ascii="Arial" w:hAnsi="Arial"/>
        <w:color w:val="F2F2F2"/>
        <w:sz w:val="22"/>
      </w:rPr>
      <w:tblPr/>
      <w:tcPr>
        <w:shd w:val="clear" w:color="B0CC4E" w:themeColor="accent3" w:themeTint="FE" w:fill="B0CC4E" w:themeFill="accent3" w:themeFillTint="FE"/>
      </w:tcPr>
    </w:tblStylePr>
    <w:tblStylePr w:type="firstCol">
      <w:rPr>
        <w:rFonts w:ascii="Arial" w:hAnsi="Arial"/>
        <w:color w:val="F2F2F2"/>
        <w:sz w:val="22"/>
      </w:rPr>
      <w:tblPr/>
      <w:tcPr>
        <w:shd w:val="clear" w:color="B0CC4E" w:themeColor="accent3" w:themeTint="FE" w:fill="B0CC4E" w:themeFill="accent3" w:themeFillTint="FE"/>
      </w:tcPr>
    </w:tblStylePr>
    <w:tblStylePr w:type="lastCol">
      <w:rPr>
        <w:rFonts w:ascii="Arial" w:hAnsi="Arial"/>
        <w:color w:val="F2F2F2"/>
        <w:sz w:val="22"/>
      </w:rPr>
      <w:tblPr/>
      <w:tcPr>
        <w:shd w:val="clear" w:color="B0CC4E" w:themeColor="accent3" w:themeTint="FE" w:fill="B0CC4E"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EF4DA" w:themeColor="accent3" w:themeTint="34" w:fill="EEF4DA"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EF4DA" w:themeColor="accent3" w:themeTint="34" w:fill="EEF4DA" w:themeFill="accent3" w:themeFillTint="34"/>
      </w:tcPr>
    </w:tblStylePr>
  </w:style>
  <w:style w:type="table" w:customStyle="1" w:styleId="Lined-Accent4">
    <w:name w:val="Lined - Accent 4"/>
    <w:basedOn w:val="TableauNormal"/>
    <w:uiPriority w:val="99"/>
    <w:rPr>
      <w:color w:val="404040"/>
      <w:sz w:val="20"/>
      <w:szCs w:val="20"/>
      <w:lang w:eastAsia="fr-FR"/>
    </w:rPr>
    <w:tblPr>
      <w:tblStyleRowBandSize w:val="1"/>
      <w:tblStyleColBandSize w:val="1"/>
    </w:tblPr>
    <w:tblStylePr w:type="firstRow">
      <w:rPr>
        <w:rFonts w:ascii="Arial" w:hAnsi="Arial"/>
        <w:color w:val="F2F2F2"/>
        <w:sz w:val="22"/>
      </w:rPr>
      <w:tblPr/>
      <w:tcPr>
        <w:shd w:val="clear" w:color="FDF2B0" w:themeColor="accent4" w:themeTint="9A" w:fill="FDF2B0" w:themeFill="accent4" w:themeFillTint="9A"/>
      </w:tcPr>
    </w:tblStylePr>
    <w:tblStylePr w:type="lastRow">
      <w:rPr>
        <w:rFonts w:ascii="Arial" w:hAnsi="Arial"/>
        <w:color w:val="F2F2F2"/>
        <w:sz w:val="22"/>
      </w:rPr>
      <w:tblPr/>
      <w:tcPr>
        <w:shd w:val="clear" w:color="FDF2B0" w:themeColor="accent4" w:themeTint="9A" w:fill="FDF2B0" w:themeFill="accent4" w:themeFillTint="9A"/>
      </w:tcPr>
    </w:tblStylePr>
    <w:tblStylePr w:type="firstCol">
      <w:rPr>
        <w:rFonts w:ascii="Arial" w:hAnsi="Arial"/>
        <w:color w:val="F2F2F2"/>
        <w:sz w:val="22"/>
      </w:rPr>
      <w:tblPr/>
      <w:tcPr>
        <w:shd w:val="clear" w:color="FDF2B0" w:themeColor="accent4" w:themeTint="9A" w:fill="FDF2B0" w:themeFill="accent4" w:themeFillTint="9A"/>
      </w:tcPr>
    </w:tblStylePr>
    <w:tblStylePr w:type="lastCol">
      <w:rPr>
        <w:rFonts w:ascii="Arial" w:hAnsi="Arial"/>
        <w:color w:val="F2F2F2"/>
        <w:sz w:val="22"/>
      </w:rPr>
      <w:tblPr/>
      <w:tcPr>
        <w:shd w:val="clear" w:color="FDF2B0" w:themeColor="accent4" w:themeTint="9A" w:fill="FDF2B0"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EFAE4" w:themeColor="accent4" w:themeTint="34" w:fill="FEFAE4"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EFAE4" w:themeColor="accent4" w:themeTint="34" w:fill="FEFAE4" w:themeFill="accent4" w:themeFillTint="34"/>
      </w:tcPr>
    </w:tblStylePr>
  </w:style>
  <w:style w:type="table" w:customStyle="1" w:styleId="Lined-Accent5">
    <w:name w:val="Lined - Accent 5"/>
    <w:basedOn w:val="TableauNormal"/>
    <w:uiPriority w:val="99"/>
    <w:rPr>
      <w:color w:val="404040"/>
      <w:sz w:val="20"/>
      <w:szCs w:val="20"/>
      <w:lang w:eastAsia="fr-FR"/>
    </w:rPr>
    <w:tblPr>
      <w:tblStyleRowBandSize w:val="1"/>
      <w:tblStyleColBandSize w:val="1"/>
    </w:tblPr>
    <w:tblStylePr w:type="firstRow">
      <w:rPr>
        <w:rFonts w:ascii="Arial" w:hAnsi="Arial"/>
        <w:color w:val="F2F2F2"/>
        <w:sz w:val="22"/>
      </w:rPr>
      <w:tblPr/>
      <w:tcPr>
        <w:shd w:val="clear" w:color="7E97CE" w:themeColor="accent5" w:fill="7E97CE" w:themeFill="accent5"/>
      </w:tcPr>
    </w:tblStylePr>
    <w:tblStylePr w:type="lastRow">
      <w:rPr>
        <w:rFonts w:ascii="Arial" w:hAnsi="Arial"/>
        <w:color w:val="F2F2F2"/>
        <w:sz w:val="22"/>
      </w:rPr>
      <w:tblPr/>
      <w:tcPr>
        <w:shd w:val="clear" w:color="7E97CE" w:themeColor="accent5" w:fill="7E97CE" w:themeFill="accent5"/>
      </w:tcPr>
    </w:tblStylePr>
    <w:tblStylePr w:type="firstCol">
      <w:rPr>
        <w:rFonts w:ascii="Arial" w:hAnsi="Arial"/>
        <w:color w:val="F2F2F2"/>
        <w:sz w:val="22"/>
      </w:rPr>
      <w:tblPr/>
      <w:tcPr>
        <w:shd w:val="clear" w:color="7E97CE" w:themeColor="accent5" w:fill="7E97CE" w:themeFill="accent5"/>
      </w:tcPr>
    </w:tblStylePr>
    <w:tblStylePr w:type="lastCol">
      <w:rPr>
        <w:rFonts w:ascii="Arial" w:hAnsi="Arial"/>
        <w:color w:val="F2F2F2"/>
        <w:sz w:val="22"/>
      </w:rPr>
      <w:tblPr/>
      <w:tcPr>
        <w:shd w:val="clear" w:color="7E97CE" w:themeColor="accent5" w:fill="7E97CE"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4E9F5" w:themeColor="accent5" w:themeTint="34" w:fill="E4E9F5"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4E9F5" w:themeColor="accent5" w:themeTint="34" w:fill="E4E9F5" w:themeFill="accent5" w:themeFillTint="34"/>
      </w:tcPr>
    </w:tblStylePr>
  </w:style>
  <w:style w:type="table" w:customStyle="1" w:styleId="Lined-Accent6">
    <w:name w:val="Lined - Accent 6"/>
    <w:basedOn w:val="TableauNormal"/>
    <w:uiPriority w:val="99"/>
    <w:rPr>
      <w:color w:val="404040"/>
      <w:sz w:val="20"/>
      <w:szCs w:val="20"/>
      <w:lang w:eastAsia="fr-FR"/>
    </w:rPr>
    <w:tblPr>
      <w:tblStyleRowBandSize w:val="1"/>
      <w:tblStyleColBandSize w:val="1"/>
    </w:tblPr>
    <w:tblStylePr w:type="firstRow">
      <w:rPr>
        <w:rFonts w:ascii="Arial" w:hAnsi="Arial"/>
        <w:color w:val="F2F2F2"/>
        <w:sz w:val="22"/>
      </w:rPr>
      <w:tblPr/>
      <w:tcPr>
        <w:shd w:val="clear" w:color="60B467" w:themeColor="accent6" w:fill="60B467" w:themeFill="accent6"/>
      </w:tcPr>
    </w:tblStylePr>
    <w:tblStylePr w:type="lastRow">
      <w:rPr>
        <w:rFonts w:ascii="Arial" w:hAnsi="Arial"/>
        <w:color w:val="F2F2F2"/>
        <w:sz w:val="22"/>
      </w:rPr>
      <w:tblPr/>
      <w:tcPr>
        <w:shd w:val="clear" w:color="60B467" w:themeColor="accent6" w:fill="60B467" w:themeFill="accent6"/>
      </w:tcPr>
    </w:tblStylePr>
    <w:tblStylePr w:type="firstCol">
      <w:rPr>
        <w:rFonts w:ascii="Arial" w:hAnsi="Arial"/>
        <w:color w:val="F2F2F2"/>
        <w:sz w:val="22"/>
      </w:rPr>
      <w:tblPr/>
      <w:tcPr>
        <w:shd w:val="clear" w:color="60B467" w:themeColor="accent6" w:fill="60B467" w:themeFill="accent6"/>
      </w:tcPr>
    </w:tblStylePr>
    <w:tblStylePr w:type="lastCol">
      <w:rPr>
        <w:rFonts w:ascii="Arial" w:hAnsi="Arial"/>
        <w:color w:val="F2F2F2"/>
        <w:sz w:val="22"/>
      </w:rPr>
      <w:tblPr/>
      <w:tcPr>
        <w:shd w:val="clear" w:color="60B467" w:themeColor="accent6" w:fill="60B46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EEFDF" w:themeColor="accent6" w:themeTint="34" w:fill="DEEFD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EEFDF" w:themeColor="accent6" w:themeTint="34" w:fill="DEEFDF" w:themeFill="accent6" w:themeFillTint="34"/>
      </w:tcPr>
    </w:tblStylePr>
  </w:style>
  <w:style w:type="table" w:customStyle="1" w:styleId="BorderedLined-Accent">
    <w:name w:val="Bordered &amp; Lined - Accent"/>
    <w:basedOn w:val="TableauNormal"/>
    <w:uiPriority w:val="99"/>
    <w:rPr>
      <w:color w:val="404040"/>
      <w:sz w:val="20"/>
      <w:szCs w:val="20"/>
      <w:lang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sz w:val="20"/>
      <w:szCs w:val="20"/>
      <w:lang w:eastAsia="fr-FR"/>
    </w:rPr>
    <w:tblPr>
      <w:tblStyleRowBandSize w:val="1"/>
      <w:tblStyleColBandSize w:val="1"/>
      <w:tblBorders>
        <w:top w:val="single" w:sz="4" w:space="0" w:color="AD3110" w:themeColor="accent1" w:themeShade="95"/>
        <w:left w:val="single" w:sz="4" w:space="0" w:color="AD3110" w:themeColor="accent1" w:themeShade="95"/>
        <w:bottom w:val="single" w:sz="4" w:space="0" w:color="AD3110" w:themeColor="accent1" w:themeShade="95"/>
        <w:right w:val="single" w:sz="4" w:space="0" w:color="AD3110" w:themeColor="accent1" w:themeShade="95"/>
        <w:insideH w:val="single" w:sz="4" w:space="0" w:color="AD3110" w:themeColor="accent1" w:themeShade="95"/>
        <w:insideV w:val="single" w:sz="4" w:space="0" w:color="AD3110" w:themeColor="accent1" w:themeShade="95"/>
      </w:tblBorders>
    </w:tblPr>
    <w:tblStylePr w:type="firstRow">
      <w:rPr>
        <w:rFonts w:ascii="Arial" w:hAnsi="Arial"/>
        <w:color w:val="F2F2F2"/>
        <w:sz w:val="22"/>
      </w:rPr>
      <w:tblPr/>
      <w:tcPr>
        <w:shd w:val="clear" w:color="F08164" w:themeColor="accent1" w:themeTint="EA" w:fill="F08164" w:themeFill="accent1" w:themeFillTint="EA"/>
      </w:tcPr>
    </w:tblStylePr>
    <w:tblStylePr w:type="lastRow">
      <w:rPr>
        <w:rFonts w:ascii="Arial" w:hAnsi="Arial"/>
        <w:color w:val="F2F2F2"/>
        <w:sz w:val="22"/>
      </w:rPr>
      <w:tblPr/>
      <w:tcPr>
        <w:shd w:val="clear" w:color="F08164" w:themeColor="accent1" w:themeTint="EA" w:fill="F08164" w:themeFill="accent1" w:themeFillTint="EA"/>
      </w:tcPr>
    </w:tblStylePr>
    <w:tblStylePr w:type="firstCol">
      <w:rPr>
        <w:rFonts w:ascii="Arial" w:hAnsi="Arial"/>
        <w:color w:val="F2F2F2"/>
        <w:sz w:val="22"/>
      </w:rPr>
      <w:tblPr/>
      <w:tcPr>
        <w:shd w:val="clear" w:color="F08164" w:themeColor="accent1" w:themeTint="EA" w:fill="F08164" w:themeFill="accent1" w:themeFillTint="EA"/>
      </w:tcPr>
    </w:tblStylePr>
    <w:tblStylePr w:type="lastCol">
      <w:rPr>
        <w:rFonts w:ascii="Arial" w:hAnsi="Arial"/>
        <w:color w:val="F2F2F2"/>
        <w:sz w:val="22"/>
      </w:rPr>
      <w:tblPr/>
      <w:tcPr>
        <w:shd w:val="clear" w:color="F08164" w:themeColor="accent1" w:themeTint="EA" w:fill="F08164"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AD3CA" w:themeColor="accent1" w:themeTint="50" w:fill="FAD3C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AD3CA" w:themeColor="accent1" w:themeTint="50" w:fill="FAD3CA" w:themeFill="accent1" w:themeFillTint="50"/>
      </w:tcPr>
    </w:tblStylePr>
  </w:style>
  <w:style w:type="table" w:customStyle="1" w:styleId="BorderedLined-Accent2">
    <w:name w:val="Bordered &amp; Lined - Accent 2"/>
    <w:basedOn w:val="TableauNormal"/>
    <w:uiPriority w:val="99"/>
    <w:rPr>
      <w:color w:val="404040"/>
      <w:sz w:val="20"/>
      <w:szCs w:val="20"/>
      <w:lang w:eastAsia="fr-FR"/>
    </w:rPr>
    <w:tblPr>
      <w:tblStyleRowBandSize w:val="1"/>
      <w:tblStyleColBandSize w:val="1"/>
      <w:tblBorders>
        <w:top w:val="single" w:sz="4" w:space="0" w:color="171543" w:themeColor="accent2" w:themeShade="95"/>
        <w:left w:val="single" w:sz="4" w:space="0" w:color="171543" w:themeColor="accent2" w:themeShade="95"/>
        <w:bottom w:val="single" w:sz="4" w:space="0" w:color="171543" w:themeColor="accent2" w:themeShade="95"/>
        <w:right w:val="single" w:sz="4" w:space="0" w:color="171543" w:themeColor="accent2" w:themeShade="95"/>
        <w:insideH w:val="single" w:sz="4" w:space="0" w:color="171543" w:themeColor="accent2" w:themeShade="95"/>
        <w:insideV w:val="single" w:sz="4" w:space="0" w:color="171543" w:themeColor="accent2" w:themeShade="95"/>
      </w:tblBorders>
    </w:tblPr>
    <w:tblStylePr w:type="firstRow">
      <w:rPr>
        <w:rFonts w:ascii="Arial" w:hAnsi="Arial"/>
        <w:color w:val="F2F2F2"/>
        <w:sz w:val="22"/>
      </w:rPr>
      <w:tblPr/>
      <w:tcPr>
        <w:shd w:val="clear" w:color="635ECB" w:themeColor="accent2" w:themeTint="97" w:fill="635ECB" w:themeFill="accent2" w:themeFillTint="97"/>
      </w:tcPr>
    </w:tblStylePr>
    <w:tblStylePr w:type="lastRow">
      <w:rPr>
        <w:rFonts w:ascii="Arial" w:hAnsi="Arial"/>
        <w:color w:val="F2F2F2"/>
        <w:sz w:val="22"/>
      </w:rPr>
      <w:tblPr/>
      <w:tcPr>
        <w:shd w:val="clear" w:color="635ECB" w:themeColor="accent2" w:themeTint="97" w:fill="635ECB" w:themeFill="accent2" w:themeFillTint="97"/>
      </w:tcPr>
    </w:tblStylePr>
    <w:tblStylePr w:type="firstCol">
      <w:rPr>
        <w:rFonts w:ascii="Arial" w:hAnsi="Arial"/>
        <w:color w:val="F2F2F2"/>
        <w:sz w:val="22"/>
      </w:rPr>
      <w:tblPr/>
      <w:tcPr>
        <w:shd w:val="clear" w:color="635ECB" w:themeColor="accent2" w:themeTint="97" w:fill="635ECB" w:themeFill="accent2" w:themeFillTint="97"/>
      </w:tcPr>
    </w:tblStylePr>
    <w:tblStylePr w:type="lastCol">
      <w:rPr>
        <w:rFonts w:ascii="Arial" w:hAnsi="Arial"/>
        <w:color w:val="F2F2F2"/>
        <w:sz w:val="22"/>
      </w:rPr>
      <w:tblPr/>
      <w:tcPr>
        <w:shd w:val="clear" w:color="635ECB" w:themeColor="accent2" w:themeTint="97" w:fill="635ECB"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CBC9EE" w:themeColor="accent2" w:themeTint="32" w:fill="CBC9EE"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CBC9EE" w:themeColor="accent2" w:themeTint="32" w:fill="CBC9EE" w:themeFill="accent2" w:themeFillTint="32"/>
      </w:tcPr>
    </w:tblStylePr>
  </w:style>
  <w:style w:type="table" w:customStyle="1" w:styleId="BorderedLined-Accent3">
    <w:name w:val="Bordered &amp; Lined - Accent 3"/>
    <w:basedOn w:val="TableauNormal"/>
    <w:uiPriority w:val="99"/>
    <w:rPr>
      <w:color w:val="404040"/>
      <w:sz w:val="20"/>
      <w:szCs w:val="20"/>
      <w:lang w:eastAsia="fr-FR"/>
    </w:rPr>
    <w:tblPr>
      <w:tblStyleRowBandSize w:val="1"/>
      <w:tblStyleColBandSize w:val="1"/>
      <w:tblBorders>
        <w:top w:val="single" w:sz="4" w:space="0" w:color="6B7F25" w:themeColor="accent3" w:themeShade="95"/>
        <w:left w:val="single" w:sz="4" w:space="0" w:color="6B7F25" w:themeColor="accent3" w:themeShade="95"/>
        <w:bottom w:val="single" w:sz="4" w:space="0" w:color="6B7F25" w:themeColor="accent3" w:themeShade="95"/>
        <w:right w:val="single" w:sz="4" w:space="0" w:color="6B7F25" w:themeColor="accent3" w:themeShade="95"/>
        <w:insideH w:val="single" w:sz="4" w:space="0" w:color="6B7F25" w:themeColor="accent3" w:themeShade="95"/>
        <w:insideV w:val="single" w:sz="4" w:space="0" w:color="6B7F25" w:themeColor="accent3" w:themeShade="95"/>
      </w:tblBorders>
    </w:tblPr>
    <w:tblStylePr w:type="firstRow">
      <w:rPr>
        <w:rFonts w:ascii="Arial" w:hAnsi="Arial"/>
        <w:color w:val="F2F2F2"/>
        <w:sz w:val="22"/>
      </w:rPr>
      <w:tblPr/>
      <w:tcPr>
        <w:shd w:val="clear" w:color="B0CC4E" w:themeColor="accent3" w:themeTint="FE" w:fill="B0CC4E" w:themeFill="accent3" w:themeFillTint="FE"/>
      </w:tcPr>
    </w:tblStylePr>
    <w:tblStylePr w:type="lastRow">
      <w:rPr>
        <w:rFonts w:ascii="Arial" w:hAnsi="Arial"/>
        <w:color w:val="F2F2F2"/>
        <w:sz w:val="22"/>
      </w:rPr>
      <w:tblPr/>
      <w:tcPr>
        <w:shd w:val="clear" w:color="B0CC4E" w:themeColor="accent3" w:themeTint="FE" w:fill="B0CC4E" w:themeFill="accent3" w:themeFillTint="FE"/>
      </w:tcPr>
    </w:tblStylePr>
    <w:tblStylePr w:type="firstCol">
      <w:rPr>
        <w:rFonts w:ascii="Arial" w:hAnsi="Arial"/>
        <w:color w:val="F2F2F2"/>
        <w:sz w:val="22"/>
      </w:rPr>
      <w:tblPr/>
      <w:tcPr>
        <w:shd w:val="clear" w:color="B0CC4E" w:themeColor="accent3" w:themeTint="FE" w:fill="B0CC4E" w:themeFill="accent3" w:themeFillTint="FE"/>
      </w:tcPr>
    </w:tblStylePr>
    <w:tblStylePr w:type="lastCol">
      <w:rPr>
        <w:rFonts w:ascii="Arial" w:hAnsi="Arial"/>
        <w:color w:val="F2F2F2"/>
        <w:sz w:val="22"/>
      </w:rPr>
      <w:tblPr/>
      <w:tcPr>
        <w:shd w:val="clear" w:color="B0CC4E" w:themeColor="accent3" w:themeTint="FE" w:fill="B0CC4E"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EF4DA" w:themeColor="accent3" w:themeTint="34" w:fill="EEF4DA"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EF4DA" w:themeColor="accent3" w:themeTint="34" w:fill="EEF4DA" w:themeFill="accent3" w:themeFillTint="34"/>
      </w:tcPr>
    </w:tblStylePr>
  </w:style>
  <w:style w:type="table" w:customStyle="1" w:styleId="BorderedLined-Accent4">
    <w:name w:val="Bordered &amp; Lined - Accent 4"/>
    <w:basedOn w:val="TableauNormal"/>
    <w:uiPriority w:val="99"/>
    <w:rPr>
      <w:color w:val="404040"/>
      <w:sz w:val="20"/>
      <w:szCs w:val="20"/>
      <w:lang w:eastAsia="fr-FR"/>
    </w:rPr>
    <w:tblPr>
      <w:tblStyleRowBandSize w:val="1"/>
      <w:tblStyleColBandSize w:val="1"/>
      <w:tblBorders>
        <w:top w:val="single" w:sz="4" w:space="0" w:color="D9BB03" w:themeColor="accent4" w:themeShade="95"/>
        <w:left w:val="single" w:sz="4" w:space="0" w:color="D9BB03" w:themeColor="accent4" w:themeShade="95"/>
        <w:bottom w:val="single" w:sz="4" w:space="0" w:color="D9BB03" w:themeColor="accent4" w:themeShade="95"/>
        <w:right w:val="single" w:sz="4" w:space="0" w:color="D9BB03" w:themeColor="accent4" w:themeShade="95"/>
        <w:insideH w:val="single" w:sz="4" w:space="0" w:color="D9BB03" w:themeColor="accent4" w:themeShade="95"/>
        <w:insideV w:val="single" w:sz="4" w:space="0" w:color="D9BB03" w:themeColor="accent4" w:themeShade="95"/>
      </w:tblBorders>
    </w:tblPr>
    <w:tblStylePr w:type="firstRow">
      <w:rPr>
        <w:rFonts w:ascii="Arial" w:hAnsi="Arial"/>
        <w:color w:val="F2F2F2"/>
        <w:sz w:val="22"/>
      </w:rPr>
      <w:tblPr/>
      <w:tcPr>
        <w:shd w:val="clear" w:color="FDF2B0" w:themeColor="accent4" w:themeTint="9A" w:fill="FDF2B0" w:themeFill="accent4" w:themeFillTint="9A"/>
      </w:tcPr>
    </w:tblStylePr>
    <w:tblStylePr w:type="lastRow">
      <w:rPr>
        <w:rFonts w:ascii="Arial" w:hAnsi="Arial"/>
        <w:color w:val="F2F2F2"/>
        <w:sz w:val="22"/>
      </w:rPr>
      <w:tblPr/>
      <w:tcPr>
        <w:shd w:val="clear" w:color="FDF2B0" w:themeColor="accent4" w:themeTint="9A" w:fill="FDF2B0" w:themeFill="accent4" w:themeFillTint="9A"/>
      </w:tcPr>
    </w:tblStylePr>
    <w:tblStylePr w:type="firstCol">
      <w:rPr>
        <w:rFonts w:ascii="Arial" w:hAnsi="Arial"/>
        <w:color w:val="F2F2F2"/>
        <w:sz w:val="22"/>
      </w:rPr>
      <w:tblPr/>
      <w:tcPr>
        <w:shd w:val="clear" w:color="FDF2B0" w:themeColor="accent4" w:themeTint="9A" w:fill="FDF2B0" w:themeFill="accent4" w:themeFillTint="9A"/>
      </w:tcPr>
    </w:tblStylePr>
    <w:tblStylePr w:type="lastCol">
      <w:rPr>
        <w:rFonts w:ascii="Arial" w:hAnsi="Arial"/>
        <w:color w:val="F2F2F2"/>
        <w:sz w:val="22"/>
      </w:rPr>
      <w:tblPr/>
      <w:tcPr>
        <w:shd w:val="clear" w:color="FDF2B0" w:themeColor="accent4" w:themeTint="9A" w:fill="FDF2B0"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EFAE4" w:themeColor="accent4" w:themeTint="34" w:fill="FEFAE4"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EFAE4" w:themeColor="accent4" w:themeTint="34" w:fill="FEFAE4" w:themeFill="accent4" w:themeFillTint="34"/>
      </w:tcPr>
    </w:tblStylePr>
  </w:style>
  <w:style w:type="table" w:customStyle="1" w:styleId="BorderedLined-Accent5">
    <w:name w:val="Bordered &amp; Lined - Accent 5"/>
    <w:basedOn w:val="TableauNormal"/>
    <w:uiPriority w:val="99"/>
    <w:rPr>
      <w:color w:val="404040"/>
      <w:sz w:val="20"/>
      <w:szCs w:val="20"/>
      <w:lang w:eastAsia="fr-FR"/>
    </w:rPr>
    <w:tblPr>
      <w:tblStyleRowBandSize w:val="1"/>
      <w:tblStyleColBandSize w:val="1"/>
      <w:tblBorders>
        <w:top w:val="single" w:sz="4" w:space="0" w:color="35508C" w:themeColor="accent5" w:themeShade="95"/>
        <w:left w:val="single" w:sz="4" w:space="0" w:color="35508C" w:themeColor="accent5" w:themeShade="95"/>
        <w:bottom w:val="single" w:sz="4" w:space="0" w:color="35508C" w:themeColor="accent5" w:themeShade="95"/>
        <w:right w:val="single" w:sz="4" w:space="0" w:color="35508C" w:themeColor="accent5" w:themeShade="95"/>
        <w:insideH w:val="single" w:sz="4" w:space="0" w:color="35508C" w:themeColor="accent5" w:themeShade="95"/>
        <w:insideV w:val="single" w:sz="4" w:space="0" w:color="35508C" w:themeColor="accent5" w:themeShade="95"/>
      </w:tblBorders>
    </w:tblPr>
    <w:tblStylePr w:type="firstRow">
      <w:rPr>
        <w:rFonts w:ascii="Arial" w:hAnsi="Arial"/>
        <w:color w:val="F2F2F2"/>
        <w:sz w:val="22"/>
      </w:rPr>
      <w:tblPr/>
      <w:tcPr>
        <w:shd w:val="clear" w:color="7E97CE" w:themeColor="accent5" w:fill="7E97CE" w:themeFill="accent5"/>
      </w:tcPr>
    </w:tblStylePr>
    <w:tblStylePr w:type="lastRow">
      <w:rPr>
        <w:rFonts w:ascii="Arial" w:hAnsi="Arial"/>
        <w:color w:val="F2F2F2"/>
        <w:sz w:val="22"/>
      </w:rPr>
      <w:tblPr/>
      <w:tcPr>
        <w:shd w:val="clear" w:color="7E97CE" w:themeColor="accent5" w:fill="7E97CE" w:themeFill="accent5"/>
      </w:tcPr>
    </w:tblStylePr>
    <w:tblStylePr w:type="firstCol">
      <w:rPr>
        <w:rFonts w:ascii="Arial" w:hAnsi="Arial"/>
        <w:color w:val="F2F2F2"/>
        <w:sz w:val="22"/>
      </w:rPr>
      <w:tblPr/>
      <w:tcPr>
        <w:shd w:val="clear" w:color="7E97CE" w:themeColor="accent5" w:fill="7E97CE" w:themeFill="accent5"/>
      </w:tcPr>
    </w:tblStylePr>
    <w:tblStylePr w:type="lastCol">
      <w:rPr>
        <w:rFonts w:ascii="Arial" w:hAnsi="Arial"/>
        <w:color w:val="F2F2F2"/>
        <w:sz w:val="22"/>
      </w:rPr>
      <w:tblPr/>
      <w:tcPr>
        <w:shd w:val="clear" w:color="7E97CE" w:themeColor="accent5" w:fill="7E97CE"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4E9F5" w:themeColor="accent5" w:themeTint="34" w:fill="E4E9F5"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4E9F5" w:themeColor="accent5" w:themeTint="34" w:fill="E4E9F5" w:themeFill="accent5" w:themeFillTint="34"/>
      </w:tcPr>
    </w:tblStylePr>
  </w:style>
  <w:style w:type="table" w:customStyle="1" w:styleId="BorderedLined-Accent6">
    <w:name w:val="Bordered &amp; Lined - Accent 6"/>
    <w:basedOn w:val="TableauNormal"/>
    <w:uiPriority w:val="99"/>
    <w:rPr>
      <w:color w:val="404040"/>
      <w:sz w:val="20"/>
      <w:szCs w:val="20"/>
      <w:lang w:eastAsia="fr-FR"/>
    </w:rPr>
    <w:tblPr>
      <w:tblStyleRowBandSize w:val="1"/>
      <w:tblStyleColBandSize w:val="1"/>
      <w:tblBorders>
        <w:top w:val="single" w:sz="4" w:space="0" w:color="336D38" w:themeColor="accent6" w:themeShade="95"/>
        <w:left w:val="single" w:sz="4" w:space="0" w:color="336D38" w:themeColor="accent6" w:themeShade="95"/>
        <w:bottom w:val="single" w:sz="4" w:space="0" w:color="336D38" w:themeColor="accent6" w:themeShade="95"/>
        <w:right w:val="single" w:sz="4" w:space="0" w:color="336D38" w:themeColor="accent6" w:themeShade="95"/>
        <w:insideH w:val="single" w:sz="4" w:space="0" w:color="336D38" w:themeColor="accent6" w:themeShade="95"/>
        <w:insideV w:val="single" w:sz="4" w:space="0" w:color="336D38" w:themeColor="accent6" w:themeShade="95"/>
      </w:tblBorders>
    </w:tblPr>
    <w:tblStylePr w:type="firstRow">
      <w:rPr>
        <w:rFonts w:ascii="Arial" w:hAnsi="Arial"/>
        <w:color w:val="F2F2F2"/>
        <w:sz w:val="22"/>
      </w:rPr>
      <w:tblPr/>
      <w:tcPr>
        <w:shd w:val="clear" w:color="60B467" w:themeColor="accent6" w:fill="60B467" w:themeFill="accent6"/>
      </w:tcPr>
    </w:tblStylePr>
    <w:tblStylePr w:type="lastRow">
      <w:rPr>
        <w:rFonts w:ascii="Arial" w:hAnsi="Arial"/>
        <w:color w:val="F2F2F2"/>
        <w:sz w:val="22"/>
      </w:rPr>
      <w:tblPr/>
      <w:tcPr>
        <w:shd w:val="clear" w:color="60B467" w:themeColor="accent6" w:fill="60B467" w:themeFill="accent6"/>
      </w:tcPr>
    </w:tblStylePr>
    <w:tblStylePr w:type="firstCol">
      <w:rPr>
        <w:rFonts w:ascii="Arial" w:hAnsi="Arial"/>
        <w:color w:val="F2F2F2"/>
        <w:sz w:val="22"/>
      </w:rPr>
      <w:tblPr/>
      <w:tcPr>
        <w:shd w:val="clear" w:color="60B467" w:themeColor="accent6" w:fill="60B467" w:themeFill="accent6"/>
      </w:tcPr>
    </w:tblStylePr>
    <w:tblStylePr w:type="lastCol">
      <w:rPr>
        <w:rFonts w:ascii="Arial" w:hAnsi="Arial"/>
        <w:color w:val="F2F2F2"/>
        <w:sz w:val="22"/>
      </w:rPr>
      <w:tblPr/>
      <w:tcPr>
        <w:shd w:val="clear" w:color="60B467" w:themeColor="accent6" w:fill="60B46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EEFDF" w:themeColor="accent6" w:themeTint="34" w:fill="DEEFD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EEFDF" w:themeColor="accent6" w:themeTint="34" w:fill="DEEFDF"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F8C7BB" w:themeColor="accent1" w:themeTint="67"/>
        <w:left w:val="single" w:sz="4" w:space="0" w:color="F8C7BB" w:themeColor="accent1" w:themeTint="67"/>
        <w:bottom w:val="single" w:sz="4" w:space="0" w:color="F8C7BB" w:themeColor="accent1" w:themeTint="67"/>
        <w:right w:val="single" w:sz="4" w:space="0" w:color="F8C7BB" w:themeColor="accent1" w:themeTint="67"/>
        <w:insideH w:val="single" w:sz="4" w:space="0" w:color="F8C7BB" w:themeColor="accent1" w:themeTint="67"/>
        <w:insideV w:val="single" w:sz="4" w:space="0" w:color="F8C7BB" w:themeColor="accent1" w:themeTint="67"/>
      </w:tblBorders>
    </w:tblPr>
    <w:tblStylePr w:type="firstRow">
      <w:rPr>
        <w:rFonts w:ascii="Arial" w:hAnsi="Arial"/>
        <w:color w:val="404040"/>
        <w:sz w:val="22"/>
      </w:rPr>
      <w:tblPr/>
      <w:tcPr>
        <w:tcBorders>
          <w:bottom w:val="single" w:sz="12" w:space="0" w:color="EF7757" w:themeColor="accent1"/>
        </w:tcBorders>
      </w:tcPr>
    </w:tblStylePr>
    <w:tblStylePr w:type="lastRow">
      <w:rPr>
        <w:rFonts w:ascii="Arial" w:hAnsi="Arial"/>
        <w:color w:val="404040"/>
        <w:sz w:val="22"/>
      </w:rPr>
      <w:tblPr/>
      <w:tcPr>
        <w:tcBorders>
          <w:top w:val="single" w:sz="12" w:space="0" w:color="EF7757"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EF7757" w:themeColor="accent1"/>
        </w:tcBorders>
      </w:tcPr>
    </w:tblStylePr>
    <w:tblStylePr w:type="band1Horz">
      <w:rPr>
        <w:rFonts w:ascii="Arial" w:hAnsi="Arial"/>
        <w:color w:val="404040"/>
        <w:sz w:val="22"/>
      </w:rPr>
      <w:tblPr/>
      <w:tcPr>
        <w:tcBorders>
          <w:top w:val="single" w:sz="4" w:space="0" w:color="F8C7BB" w:themeColor="accent1" w:themeTint="67"/>
          <w:left w:val="single" w:sz="4" w:space="0" w:color="F8C7BB" w:themeColor="accent1" w:themeTint="67"/>
          <w:bottom w:val="single" w:sz="4" w:space="0" w:color="F8C7BB" w:themeColor="accent1" w:themeTint="67"/>
          <w:right w:val="single" w:sz="4" w:space="0" w:color="F8C7BB"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9591DC" w:themeColor="accent2" w:themeTint="67"/>
        <w:left w:val="single" w:sz="4" w:space="0" w:color="9591DC" w:themeColor="accent2" w:themeTint="67"/>
        <w:bottom w:val="single" w:sz="4" w:space="0" w:color="9591DC" w:themeColor="accent2" w:themeTint="67"/>
        <w:right w:val="single" w:sz="4" w:space="0" w:color="9591DC" w:themeColor="accent2" w:themeTint="67"/>
        <w:insideH w:val="single" w:sz="4" w:space="0" w:color="9591DC" w:themeColor="accent2" w:themeTint="67"/>
        <w:insideV w:val="single" w:sz="4" w:space="0" w:color="9591DC" w:themeColor="accent2" w:themeTint="67"/>
      </w:tblBorders>
    </w:tblPr>
    <w:tblStylePr w:type="firstRow">
      <w:rPr>
        <w:rFonts w:ascii="Arial" w:hAnsi="Arial"/>
        <w:color w:val="404040"/>
        <w:sz w:val="22"/>
      </w:rPr>
      <w:tblPr/>
      <w:tcPr>
        <w:tcBorders>
          <w:bottom w:val="single" w:sz="12" w:space="0" w:color="635ECB" w:themeColor="accent2" w:themeTint="97"/>
        </w:tcBorders>
      </w:tcPr>
    </w:tblStylePr>
    <w:tblStylePr w:type="lastRow">
      <w:rPr>
        <w:rFonts w:ascii="Arial" w:hAnsi="Arial"/>
        <w:color w:val="404040"/>
        <w:sz w:val="22"/>
      </w:rPr>
      <w:tblPr/>
      <w:tcPr>
        <w:tcBorders>
          <w:top w:val="single" w:sz="12" w:space="0" w:color="635ECB"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35ECB" w:themeColor="accent2" w:themeTint="97"/>
        </w:tcBorders>
      </w:tcPr>
    </w:tblStylePr>
    <w:tblStylePr w:type="band1Horz">
      <w:rPr>
        <w:rFonts w:ascii="Arial" w:hAnsi="Arial"/>
        <w:color w:val="404040"/>
        <w:sz w:val="22"/>
      </w:rPr>
      <w:tblPr/>
      <w:tcPr>
        <w:tcBorders>
          <w:top w:val="single" w:sz="4" w:space="0" w:color="9591DC" w:themeColor="accent2" w:themeTint="67"/>
          <w:left w:val="single" w:sz="4" w:space="0" w:color="9591DC" w:themeColor="accent2" w:themeTint="67"/>
          <w:bottom w:val="single" w:sz="4" w:space="0" w:color="9591DC" w:themeColor="accent2" w:themeTint="67"/>
          <w:right w:val="single" w:sz="4" w:space="0" w:color="9591DC"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EEAB7" w:themeColor="accent3" w:themeTint="67"/>
        <w:left w:val="single" w:sz="4" w:space="0" w:color="DEEAB7" w:themeColor="accent3" w:themeTint="67"/>
        <w:bottom w:val="single" w:sz="4" w:space="0" w:color="DEEAB7" w:themeColor="accent3" w:themeTint="67"/>
        <w:right w:val="single" w:sz="4" w:space="0" w:color="DEEAB7" w:themeColor="accent3" w:themeTint="67"/>
        <w:insideH w:val="single" w:sz="4" w:space="0" w:color="DEEAB7" w:themeColor="accent3" w:themeTint="67"/>
        <w:insideV w:val="single" w:sz="4" w:space="0" w:color="DEEAB7" w:themeColor="accent3" w:themeTint="67"/>
      </w:tblBorders>
    </w:tblPr>
    <w:tblStylePr w:type="firstRow">
      <w:rPr>
        <w:rFonts w:ascii="Arial" w:hAnsi="Arial"/>
        <w:color w:val="404040"/>
        <w:sz w:val="22"/>
      </w:rPr>
      <w:tblPr/>
      <w:tcPr>
        <w:tcBorders>
          <w:bottom w:val="single" w:sz="12" w:space="0" w:color="CFE095" w:themeColor="accent3" w:themeTint="98"/>
        </w:tcBorders>
      </w:tcPr>
    </w:tblStylePr>
    <w:tblStylePr w:type="lastRow">
      <w:rPr>
        <w:rFonts w:ascii="Arial" w:hAnsi="Arial"/>
        <w:color w:val="404040"/>
        <w:sz w:val="22"/>
      </w:rPr>
      <w:tblPr/>
      <w:tcPr>
        <w:tcBorders>
          <w:top w:val="single" w:sz="12" w:space="0" w:color="CFE095"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FE095" w:themeColor="accent3" w:themeTint="98"/>
        </w:tcBorders>
      </w:tcPr>
    </w:tblStylePr>
    <w:tblStylePr w:type="band1Horz">
      <w:rPr>
        <w:rFonts w:ascii="Arial" w:hAnsi="Arial"/>
        <w:color w:val="404040"/>
        <w:sz w:val="22"/>
      </w:rPr>
      <w:tblPr/>
      <w:tcPr>
        <w:tcBorders>
          <w:top w:val="single" w:sz="4" w:space="0" w:color="DEEAB7" w:themeColor="accent3" w:themeTint="67"/>
          <w:left w:val="single" w:sz="4" w:space="0" w:color="DEEAB7" w:themeColor="accent3" w:themeTint="67"/>
          <w:bottom w:val="single" w:sz="4" w:space="0" w:color="DEEAB7" w:themeColor="accent3" w:themeTint="67"/>
          <w:right w:val="single" w:sz="4" w:space="0" w:color="DEEAB7"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FEF6CA" w:themeColor="accent4" w:themeTint="67"/>
        <w:left w:val="single" w:sz="4" w:space="0" w:color="FEF6CA" w:themeColor="accent4" w:themeTint="67"/>
        <w:bottom w:val="single" w:sz="4" w:space="0" w:color="FEF6CA" w:themeColor="accent4" w:themeTint="67"/>
        <w:right w:val="single" w:sz="4" w:space="0" w:color="FEF6CA" w:themeColor="accent4" w:themeTint="67"/>
        <w:insideH w:val="single" w:sz="4" w:space="0" w:color="FEF6CA" w:themeColor="accent4" w:themeTint="67"/>
        <w:insideV w:val="single" w:sz="4" w:space="0" w:color="FEF6CA" w:themeColor="accent4" w:themeTint="67"/>
      </w:tblBorders>
    </w:tblPr>
    <w:tblStylePr w:type="firstRow">
      <w:rPr>
        <w:rFonts w:ascii="Arial" w:hAnsi="Arial"/>
        <w:color w:val="404040"/>
        <w:sz w:val="22"/>
      </w:rPr>
      <w:tblPr/>
      <w:tcPr>
        <w:tcBorders>
          <w:bottom w:val="single" w:sz="12" w:space="0" w:color="FDF2B0" w:themeColor="accent4" w:themeTint="9A"/>
        </w:tcBorders>
      </w:tcPr>
    </w:tblStylePr>
    <w:tblStylePr w:type="lastRow">
      <w:rPr>
        <w:rFonts w:ascii="Arial" w:hAnsi="Arial"/>
        <w:color w:val="404040"/>
        <w:sz w:val="22"/>
      </w:rPr>
      <w:tblPr/>
      <w:tcPr>
        <w:tcBorders>
          <w:top w:val="single" w:sz="12" w:space="0" w:color="FDF2B0"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DF2B0" w:themeColor="accent4" w:themeTint="9A"/>
        </w:tcBorders>
      </w:tcPr>
    </w:tblStylePr>
    <w:tblStylePr w:type="band1Horz">
      <w:rPr>
        <w:rFonts w:ascii="Arial" w:hAnsi="Arial"/>
        <w:color w:val="404040"/>
        <w:sz w:val="22"/>
      </w:rPr>
      <w:tblPr/>
      <w:tcPr>
        <w:tcBorders>
          <w:top w:val="single" w:sz="4" w:space="0" w:color="FEF6CA" w:themeColor="accent4" w:themeTint="67"/>
          <w:left w:val="single" w:sz="4" w:space="0" w:color="FEF6CA" w:themeColor="accent4" w:themeTint="67"/>
          <w:bottom w:val="single" w:sz="4" w:space="0" w:color="FEF6CA" w:themeColor="accent4" w:themeTint="67"/>
          <w:right w:val="single" w:sz="4" w:space="0" w:color="FEF6CA"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CAD4EB" w:themeColor="accent5" w:themeTint="67"/>
        <w:left w:val="single" w:sz="4" w:space="0" w:color="CAD4EB" w:themeColor="accent5" w:themeTint="67"/>
        <w:bottom w:val="single" w:sz="4" w:space="0" w:color="CAD4EB" w:themeColor="accent5" w:themeTint="67"/>
        <w:right w:val="single" w:sz="4" w:space="0" w:color="CAD4EB" w:themeColor="accent5" w:themeTint="67"/>
        <w:insideH w:val="single" w:sz="4" w:space="0" w:color="CAD4EB" w:themeColor="accent5" w:themeTint="67"/>
        <w:insideV w:val="single" w:sz="4" w:space="0" w:color="CAD4EB" w:themeColor="accent5" w:themeTint="67"/>
      </w:tblBorders>
    </w:tblPr>
    <w:tblStylePr w:type="firstRow">
      <w:rPr>
        <w:rFonts w:ascii="Arial" w:hAnsi="Arial"/>
        <w:color w:val="404040"/>
        <w:sz w:val="22"/>
      </w:rPr>
      <w:tblPr/>
      <w:tcPr>
        <w:tcBorders>
          <w:bottom w:val="single" w:sz="12" w:space="0" w:color="B0BFE1" w:themeColor="accent5" w:themeTint="9A"/>
        </w:tcBorders>
      </w:tcPr>
    </w:tblStylePr>
    <w:tblStylePr w:type="lastRow">
      <w:rPr>
        <w:rFonts w:ascii="Arial" w:hAnsi="Arial"/>
        <w:color w:val="404040"/>
        <w:sz w:val="22"/>
      </w:rPr>
      <w:tblPr/>
      <w:tcPr>
        <w:tcBorders>
          <w:top w:val="single" w:sz="12" w:space="0" w:color="B0BFE1"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0BFE1" w:themeColor="accent5" w:themeTint="9A"/>
        </w:tcBorders>
      </w:tcPr>
    </w:tblStylePr>
    <w:tblStylePr w:type="band1Horz">
      <w:rPr>
        <w:rFonts w:ascii="Arial" w:hAnsi="Arial"/>
        <w:color w:val="404040"/>
        <w:sz w:val="22"/>
      </w:rPr>
      <w:tblPr/>
      <w:tcPr>
        <w:tcBorders>
          <w:top w:val="single" w:sz="4" w:space="0" w:color="CAD4EB" w:themeColor="accent5" w:themeTint="67"/>
          <w:left w:val="single" w:sz="4" w:space="0" w:color="CAD4EB" w:themeColor="accent5" w:themeTint="67"/>
          <w:bottom w:val="single" w:sz="4" w:space="0" w:color="CAD4EB" w:themeColor="accent5" w:themeTint="67"/>
          <w:right w:val="single" w:sz="4" w:space="0" w:color="CAD4EB"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BEE0C1" w:themeColor="accent6" w:themeTint="67"/>
        <w:left w:val="single" w:sz="4" w:space="0" w:color="BEE0C1" w:themeColor="accent6" w:themeTint="67"/>
        <w:bottom w:val="single" w:sz="4" w:space="0" w:color="BEE0C1" w:themeColor="accent6" w:themeTint="67"/>
        <w:right w:val="single" w:sz="4" w:space="0" w:color="BEE0C1" w:themeColor="accent6" w:themeTint="67"/>
        <w:insideH w:val="single" w:sz="4" w:space="0" w:color="BEE0C1" w:themeColor="accent6" w:themeTint="67"/>
        <w:insideV w:val="single" w:sz="4" w:space="0" w:color="BEE0C1" w:themeColor="accent6" w:themeTint="67"/>
      </w:tblBorders>
    </w:tblPr>
    <w:tblStylePr w:type="firstRow">
      <w:rPr>
        <w:rFonts w:ascii="Arial" w:hAnsi="Arial"/>
        <w:color w:val="404040"/>
        <w:sz w:val="22"/>
      </w:rPr>
      <w:tblPr/>
      <w:tcPr>
        <w:tcBorders>
          <w:bottom w:val="single" w:sz="12" w:space="0" w:color="A0D2A4" w:themeColor="accent6" w:themeTint="98"/>
        </w:tcBorders>
      </w:tcPr>
    </w:tblStylePr>
    <w:tblStylePr w:type="lastRow">
      <w:rPr>
        <w:rFonts w:ascii="Arial" w:hAnsi="Arial"/>
        <w:color w:val="404040"/>
        <w:sz w:val="22"/>
      </w:rPr>
      <w:tblPr/>
      <w:tcPr>
        <w:tcBorders>
          <w:top w:val="single" w:sz="12" w:space="0" w:color="A0D2A4"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0D2A4" w:themeColor="accent6" w:themeTint="98"/>
        </w:tcBorders>
      </w:tcPr>
    </w:tblStylePr>
    <w:tblStylePr w:type="band1Horz">
      <w:rPr>
        <w:rFonts w:ascii="Arial" w:hAnsi="Arial"/>
        <w:color w:val="404040"/>
        <w:sz w:val="22"/>
      </w:rPr>
      <w:tblPr/>
      <w:tcPr>
        <w:tcBorders>
          <w:top w:val="single" w:sz="4" w:space="0" w:color="BEE0C1" w:themeColor="accent6" w:themeTint="67"/>
          <w:left w:val="single" w:sz="4" w:space="0" w:color="BEE0C1" w:themeColor="accent6" w:themeTint="67"/>
          <w:bottom w:val="single" w:sz="4" w:space="0" w:color="BEE0C1" w:themeColor="accent6" w:themeTint="67"/>
          <w:right w:val="single" w:sz="4" w:space="0" w:color="BEE0C1" w:themeColor="accent6" w:themeTint="67"/>
        </w:tcBorders>
      </w:tcPr>
    </w:tblStylePr>
  </w:style>
  <w:style w:type="paragraph" w:styleId="Notedebasdepage">
    <w:name w:val="footnote text"/>
    <w:basedOn w:val="Normal"/>
    <w:link w:val="NotedebasdepageCar"/>
    <w:uiPriority w:val="99"/>
    <w:semiHidden/>
    <w:unhideWhenUsed/>
    <w:pPr>
      <w:spacing w:after="40"/>
    </w:pPr>
    <w:rPr>
      <w:sz w:val="18"/>
    </w:rPr>
  </w:style>
  <w:style w:type="character" w:customStyle="1" w:styleId="NotedebasdepageCar">
    <w:name w:val="Note de bas de page Car"/>
    <w:link w:val="Notedebasdepage"/>
    <w:uiPriority w:val="99"/>
    <w:qFormat/>
    <w:rPr>
      <w:sz w:val="18"/>
    </w:rPr>
  </w:style>
  <w:style w:type="character" w:styleId="Appelnotedebasdep">
    <w:name w:val="footnote reference"/>
    <w:basedOn w:val="Policepardfaut"/>
    <w:unhideWhenUsed/>
    <w:rPr>
      <w:vertAlign w:val="superscript"/>
    </w:rPr>
  </w:style>
  <w:style w:type="paragraph" w:styleId="Notedefin">
    <w:name w:val="endnote text"/>
    <w:basedOn w:val="Normal"/>
    <w:link w:val="NotedefinCar"/>
    <w:uiPriority w:val="99"/>
    <w:semiHidden/>
    <w:unhideWhenUsed/>
    <w:rPr>
      <w:sz w:val="20"/>
    </w:rPr>
  </w:style>
  <w:style w:type="character" w:customStyle="1" w:styleId="NotedefinCar">
    <w:name w:val="Note de fin Car"/>
    <w:link w:val="Notedefin"/>
    <w:uiPriority w:val="99"/>
    <w:rPr>
      <w:sz w:val="20"/>
    </w:rPr>
  </w:style>
  <w:style w:type="character" w:styleId="Appeldenotedefin">
    <w:name w:val="endnote reference"/>
    <w:basedOn w:val="Policepardfaut"/>
    <w:uiPriority w:val="99"/>
    <w:semiHidden/>
    <w:unhideWhenUsed/>
    <w:rPr>
      <w:vertAlign w:val="superscript"/>
    </w:rPr>
  </w:style>
  <w:style w:type="paragraph" w:styleId="TM4">
    <w:name w:val="toc 4"/>
    <w:basedOn w:val="Normal"/>
    <w:next w:val="Normal"/>
    <w:uiPriority w:val="39"/>
    <w:unhideWhenUsed/>
    <w:pPr>
      <w:spacing w:after="57"/>
      <w:ind w:left="850"/>
    </w:pPr>
  </w:style>
  <w:style w:type="paragraph" w:styleId="TM5">
    <w:name w:val="toc 5"/>
    <w:basedOn w:val="Normal"/>
    <w:next w:val="Normal"/>
    <w:uiPriority w:val="39"/>
    <w:unhideWhenUsed/>
    <w:pPr>
      <w:spacing w:after="57"/>
      <w:ind w:left="1134"/>
    </w:pPr>
  </w:style>
  <w:style w:type="paragraph" w:styleId="TM6">
    <w:name w:val="toc 6"/>
    <w:basedOn w:val="Normal"/>
    <w:next w:val="Normal"/>
    <w:uiPriority w:val="39"/>
    <w:unhideWhenUsed/>
    <w:pPr>
      <w:spacing w:after="57"/>
      <w:ind w:left="1417"/>
    </w:pPr>
  </w:style>
  <w:style w:type="paragraph" w:styleId="TM7">
    <w:name w:val="toc 7"/>
    <w:basedOn w:val="Normal"/>
    <w:next w:val="Normal"/>
    <w:uiPriority w:val="39"/>
    <w:unhideWhenUsed/>
    <w:pPr>
      <w:spacing w:after="57"/>
      <w:ind w:left="1701"/>
    </w:pPr>
  </w:style>
  <w:style w:type="paragraph" w:styleId="TM8">
    <w:name w:val="toc 8"/>
    <w:basedOn w:val="Normal"/>
    <w:next w:val="Normal"/>
    <w:uiPriority w:val="39"/>
    <w:unhideWhenUsed/>
    <w:pPr>
      <w:spacing w:after="57"/>
      <w:ind w:left="1984"/>
    </w:pPr>
  </w:style>
  <w:style w:type="paragraph" w:styleId="TM9">
    <w:name w:val="toc 9"/>
    <w:basedOn w:val="Normal"/>
    <w:next w:val="Normal"/>
    <w:uiPriority w:val="39"/>
    <w:unhideWhenUsed/>
    <w:pPr>
      <w:spacing w:after="57"/>
      <w:ind w:left="2268"/>
    </w:pPr>
  </w:style>
  <w:style w:type="paragraph" w:styleId="En-ttedetabledesmatires">
    <w:name w:val="TOC Heading"/>
    <w:uiPriority w:val="39"/>
    <w:unhideWhenUsed/>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basedOn w:val="Policepardfaut"/>
    <w:link w:val="Pieddepage"/>
    <w:uiPriority w:val="99"/>
    <w:qFormat/>
  </w:style>
  <w:style w:type="paragraph" w:styleId="Titre">
    <w:name w:val="Title"/>
    <w:basedOn w:val="Normal"/>
    <w:next w:val="Normal"/>
    <w:link w:val="TitreCar"/>
    <w:uiPriority w:val="10"/>
    <w:qFormat/>
    <w:pPr>
      <w:spacing w:before="2000"/>
      <w:contextualSpacing/>
      <w:jc w:val="left"/>
    </w:pPr>
    <w:rPr>
      <w:rFonts w:eastAsiaTheme="majorEastAsia" w:cstheme="majorBidi"/>
      <w:b/>
      <w:spacing w:val="-10"/>
      <w:sz w:val="56"/>
      <w:szCs w:val="56"/>
    </w:rPr>
  </w:style>
  <w:style w:type="character" w:customStyle="1" w:styleId="TitreCar">
    <w:name w:val="Titre Car"/>
    <w:basedOn w:val="Policepardfaut"/>
    <w:link w:val="Titre"/>
    <w:uiPriority w:val="10"/>
    <w:rPr>
      <w:rFonts w:ascii="Arial" w:eastAsiaTheme="majorEastAsia" w:hAnsi="Arial" w:cstheme="majorBidi"/>
      <w:b/>
      <w:color w:val="292574" w:themeColor="accent2"/>
      <w:spacing w:val="-10"/>
      <w:sz w:val="56"/>
      <w:szCs w:val="56"/>
    </w:rPr>
  </w:style>
  <w:style w:type="paragraph" w:styleId="Sous-titre">
    <w:name w:val="Subtitle"/>
    <w:basedOn w:val="Normal"/>
    <w:next w:val="Normal"/>
    <w:link w:val="Sous-titreCar"/>
    <w:uiPriority w:val="11"/>
    <w:qFormat/>
    <w:pPr>
      <w:jc w:val="left"/>
    </w:pPr>
    <w:rPr>
      <w:b/>
      <w:bCs/>
      <w:sz w:val="36"/>
      <w:szCs w:val="36"/>
    </w:rPr>
  </w:style>
  <w:style w:type="character" w:customStyle="1" w:styleId="Sous-titreCar">
    <w:name w:val="Sous-titre Car"/>
    <w:basedOn w:val="Policepardfaut"/>
    <w:link w:val="Sous-titre"/>
    <w:uiPriority w:val="11"/>
    <w:rPr>
      <w:rFonts w:ascii="Arial" w:hAnsi="Arial"/>
      <w:b/>
      <w:bCs/>
      <w:color w:val="292574" w:themeColor="accent2"/>
      <w:sz w:val="36"/>
      <w:szCs w:val="36"/>
    </w:rPr>
  </w:style>
  <w:style w:type="paragraph" w:customStyle="1" w:styleId="Couvnaturedoc">
    <w:name w:val="Couv nature doc"/>
    <w:basedOn w:val="Normal"/>
    <w:link w:val="CouvnaturedocCar"/>
    <w:qFormat/>
    <w:pPr>
      <w:spacing w:before="800"/>
      <w:jc w:val="right"/>
    </w:pPr>
    <w:rPr>
      <w:b/>
      <w:caps/>
      <w:color w:val="FFFFFF" w:themeColor="background1"/>
      <w:sz w:val="40"/>
    </w:rPr>
  </w:style>
  <w:style w:type="paragraph" w:customStyle="1" w:styleId="Datecouv">
    <w:name w:val="Date couv"/>
    <w:basedOn w:val="Normal"/>
    <w:link w:val="DatecouvCar"/>
    <w:qFormat/>
    <w:pPr>
      <w:ind w:left="2835"/>
      <w:jc w:val="left"/>
    </w:pPr>
    <w:rPr>
      <w:b/>
      <w:color w:val="EF7757" w:themeColor="accent1"/>
      <w:sz w:val="24"/>
    </w:rPr>
  </w:style>
  <w:style w:type="character" w:customStyle="1" w:styleId="CouvnaturedocCar">
    <w:name w:val="Couv nature doc Car"/>
    <w:basedOn w:val="Policepardfaut"/>
    <w:link w:val="Couvnaturedoc"/>
    <w:rPr>
      <w:rFonts w:ascii="Arial" w:hAnsi="Arial"/>
      <w:b/>
      <w:caps/>
      <w:color w:val="FFFFFF" w:themeColor="background1"/>
      <w:sz w:val="40"/>
    </w:rPr>
  </w:style>
  <w:style w:type="paragraph" w:customStyle="1" w:styleId="ClientCouv">
    <w:name w:val="Client Couv"/>
    <w:basedOn w:val="Normal"/>
    <w:link w:val="ClientCouvCar"/>
    <w:qFormat/>
    <w:pPr>
      <w:pBdr>
        <w:top w:val="single" w:sz="4" w:space="5" w:color="EF7757" w:themeColor="accent1"/>
        <w:left w:val="single" w:sz="4" w:space="4" w:color="EF7757" w:themeColor="accent1"/>
        <w:bottom w:val="single" w:sz="4" w:space="5" w:color="EF7757" w:themeColor="accent1"/>
        <w:right w:val="single" w:sz="4" w:space="4" w:color="EF7757" w:themeColor="accent1"/>
      </w:pBdr>
      <w:shd w:val="clear" w:color="auto" w:fill="EF7757" w:themeFill="accent1"/>
      <w:spacing w:before="1600"/>
      <w:ind w:left="567" w:right="5670"/>
      <w:jc w:val="left"/>
    </w:pPr>
    <w:rPr>
      <w:color w:val="FFFFFF" w:themeColor="background1"/>
      <w:sz w:val="24"/>
    </w:rPr>
  </w:style>
  <w:style w:type="character" w:customStyle="1" w:styleId="DatecouvCar">
    <w:name w:val="Date couv Car"/>
    <w:basedOn w:val="Policepardfaut"/>
    <w:link w:val="Datecouv"/>
    <w:rPr>
      <w:rFonts w:ascii="Arial" w:hAnsi="Arial"/>
      <w:b/>
      <w:color w:val="EF7757" w:themeColor="accent1"/>
      <w:sz w:val="24"/>
    </w:rPr>
  </w:style>
  <w:style w:type="character" w:styleId="Lienhypertexte">
    <w:name w:val="Hyperlink"/>
    <w:uiPriority w:val="99"/>
    <w:rPr>
      <w:rFonts w:ascii="Arial" w:hAnsi="Arial"/>
      <w:color w:val="000080"/>
      <w:sz w:val="22"/>
      <w:u w:val="single"/>
    </w:rPr>
  </w:style>
  <w:style w:type="character" w:customStyle="1" w:styleId="ClientCouvCar">
    <w:name w:val="Client Couv Car"/>
    <w:basedOn w:val="Policepardfaut"/>
    <w:link w:val="ClientCouv"/>
    <w:rPr>
      <w:rFonts w:ascii="Arial" w:hAnsi="Arial"/>
      <w:color w:val="FFFFFF" w:themeColor="background1"/>
      <w:sz w:val="24"/>
      <w:shd w:val="clear" w:color="auto" w:fill="EF7757" w:themeFill="accent1"/>
    </w:rPr>
  </w:style>
  <w:style w:type="paragraph" w:styleId="Corpsdetexte">
    <w:name w:val="Body Text"/>
    <w:basedOn w:val="Normal"/>
    <w:link w:val="CorpsdetexteCar"/>
    <w:pPr>
      <w:spacing w:after="119" w:line="276" w:lineRule="auto"/>
    </w:pPr>
    <w:rPr>
      <w:rFonts w:eastAsia="SimSun" w:cs="Mangal"/>
      <w:color w:val="484D7A"/>
      <w:szCs w:val="24"/>
      <w:lang w:eastAsia="zh-CN" w:bidi="hi-IN"/>
    </w:rPr>
  </w:style>
  <w:style w:type="character" w:customStyle="1" w:styleId="CorpsdetexteCar">
    <w:name w:val="Corps de texte Car"/>
    <w:basedOn w:val="Policepardfaut"/>
    <w:link w:val="Corpsdetexte"/>
    <w:rPr>
      <w:rFonts w:ascii="Arial" w:eastAsia="SimSun" w:hAnsi="Arial" w:cs="Mangal"/>
      <w:color w:val="484D7A"/>
      <w:szCs w:val="24"/>
      <w:lang w:eastAsia="zh-CN" w:bidi="hi-IN"/>
    </w:rPr>
  </w:style>
  <w:style w:type="paragraph" w:customStyle="1" w:styleId="Intro">
    <w:name w:val="Intro"/>
    <w:basedOn w:val="Normal"/>
    <w:link w:val="IntroCar"/>
    <w:qFormat/>
    <w:pPr>
      <w:spacing w:before="10000"/>
    </w:pPr>
  </w:style>
  <w:style w:type="character" w:customStyle="1" w:styleId="Policepardfaut1">
    <w:name w:val="Police par défaut1"/>
    <w:rPr>
      <w:rFonts w:ascii="Arial" w:hAnsi="Arial"/>
      <w:color w:val="484D7A"/>
      <w:sz w:val="22"/>
    </w:rPr>
  </w:style>
  <w:style w:type="character" w:customStyle="1" w:styleId="IntroCar">
    <w:name w:val="Intro Car"/>
    <w:basedOn w:val="Policepardfaut"/>
    <w:link w:val="Intro"/>
    <w:rPr>
      <w:rFonts w:ascii="Arial" w:hAnsi="Arial"/>
      <w:color w:val="292574" w:themeColor="accent2"/>
    </w:rPr>
  </w:style>
  <w:style w:type="paragraph" w:customStyle="1" w:styleId="LO-Normal">
    <w:name w:val="LO-Normal"/>
    <w:pPr>
      <w:spacing w:after="119"/>
      <w:jc w:val="both"/>
    </w:pPr>
    <w:rPr>
      <w:rFonts w:ascii="Arial" w:eastAsia="Times New Roman" w:hAnsi="Arial" w:cs="Times New Roman"/>
      <w:color w:val="484D7A"/>
      <w:szCs w:val="24"/>
      <w:lang w:eastAsia="fr-FR" w:bidi="hi-IN"/>
    </w:rPr>
  </w:style>
  <w:style w:type="paragraph" w:customStyle="1" w:styleId="Tableau">
    <w:name w:val="Tableau"/>
    <w:basedOn w:val="Lgende"/>
    <w:pPr>
      <w:suppressLineNumbers/>
      <w:spacing w:after="0" w:line="276" w:lineRule="auto"/>
    </w:pPr>
    <w:rPr>
      <w:rFonts w:eastAsia="SimSun" w:cs="Mangal"/>
      <w:i w:val="0"/>
      <w:color w:val="484D7A"/>
      <w:szCs w:val="24"/>
      <w:lang w:eastAsia="zh-CN" w:bidi="hi-IN"/>
    </w:rPr>
  </w:style>
  <w:style w:type="paragraph" w:styleId="Lgende">
    <w:name w:val="caption"/>
    <w:basedOn w:val="Normal"/>
    <w:next w:val="Normal"/>
    <w:uiPriority w:val="35"/>
    <w:unhideWhenUsed/>
    <w:qFormat/>
    <w:pPr>
      <w:spacing w:after="200"/>
      <w:jc w:val="left"/>
    </w:pPr>
    <w:rPr>
      <w:i/>
      <w:iCs/>
      <w:sz w:val="18"/>
      <w:szCs w:val="18"/>
    </w:rPr>
  </w:style>
  <w:style w:type="table" w:styleId="Grilledutableau">
    <w:name w:val="Table Grid"/>
    <w:basedOn w:val="TableauNormal"/>
    <w:uiPriority w:val="39"/>
    <w:rPr>
      <w:rFonts w:ascii="Arial" w:eastAsia="Times New Roman" w:hAnsi="Arial" w:cs="Times New Roman"/>
      <w:sz w:val="20"/>
      <w:szCs w:val="20"/>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nonrsolue">
    <w:name w:val="Unresolved Mention"/>
    <w:basedOn w:val="Policepardfaut"/>
    <w:uiPriority w:val="99"/>
    <w:semiHidden/>
    <w:unhideWhenUsed/>
    <w:rPr>
      <w:color w:val="605E5C"/>
      <w:shd w:val="clear" w:color="auto" w:fill="E1DFDD"/>
    </w:rPr>
  </w:style>
  <w:style w:type="character" w:customStyle="1" w:styleId="Titre1Car">
    <w:name w:val="Titre 1 Car"/>
    <w:basedOn w:val="Policepardfaut"/>
    <w:link w:val="Titre1"/>
    <w:uiPriority w:val="9"/>
    <w:rPr>
      <w:rFonts w:ascii="Arial" w:eastAsiaTheme="majorEastAsia" w:hAnsi="Arial" w:cstheme="majorBidi"/>
      <w:b/>
      <w:caps/>
      <w:color w:val="292574" w:themeColor="accent2"/>
      <w:sz w:val="38"/>
      <w:szCs w:val="32"/>
    </w:rPr>
  </w:style>
  <w:style w:type="character" w:customStyle="1" w:styleId="Titre2Car">
    <w:name w:val="Titre 2 Car"/>
    <w:basedOn w:val="Policepardfaut"/>
    <w:link w:val="Titre2"/>
    <w:rPr>
      <w:rFonts w:ascii="Arial" w:eastAsiaTheme="majorEastAsia" w:hAnsi="Arial" w:cstheme="majorBidi"/>
      <w:b/>
      <w:color w:val="292574" w:themeColor="accent2"/>
      <w:sz w:val="32"/>
      <w:szCs w:val="26"/>
    </w:rPr>
  </w:style>
  <w:style w:type="character" w:customStyle="1" w:styleId="Titre3Car">
    <w:name w:val="Titre 3 Car"/>
    <w:basedOn w:val="Policepardfaut"/>
    <w:link w:val="Titre3"/>
    <w:uiPriority w:val="9"/>
    <w:rPr>
      <w:rFonts w:ascii="Arial" w:eastAsiaTheme="majorEastAsia" w:hAnsi="Arial" w:cstheme="majorBidi"/>
      <w:b/>
      <w:color w:val="292574" w:themeColor="accent2"/>
      <w:sz w:val="24"/>
      <w:szCs w:val="24"/>
    </w:rPr>
  </w:style>
  <w:style w:type="character" w:customStyle="1" w:styleId="Titre4Car">
    <w:name w:val="Titre 4 Car"/>
    <w:basedOn w:val="Policepardfaut"/>
    <w:link w:val="Titre4"/>
    <w:uiPriority w:val="9"/>
    <w:rPr>
      <w:rFonts w:asciiTheme="majorHAnsi" w:eastAsiaTheme="majorEastAsia" w:hAnsiTheme="majorHAnsi" w:cstheme="majorBidi"/>
      <w:i/>
      <w:iCs/>
      <w:color w:val="DE3F15" w:themeColor="accent1" w:themeShade="BF"/>
    </w:rPr>
  </w:style>
  <w:style w:type="character" w:customStyle="1" w:styleId="Titre5Car">
    <w:name w:val="Titre 5 Car"/>
    <w:basedOn w:val="Policepardfaut"/>
    <w:link w:val="Titre5"/>
    <w:uiPriority w:val="9"/>
    <w:rPr>
      <w:rFonts w:asciiTheme="majorHAnsi" w:eastAsiaTheme="majorEastAsia" w:hAnsiTheme="majorHAnsi" w:cstheme="majorBidi"/>
      <w:color w:val="DE3F15" w:themeColor="accent1" w:themeShade="BF"/>
    </w:rPr>
  </w:style>
  <w:style w:type="character" w:customStyle="1" w:styleId="Titre6Car">
    <w:name w:val="Titre 6 Car"/>
    <w:basedOn w:val="Policepardfaut"/>
    <w:link w:val="Titre6"/>
    <w:uiPriority w:val="9"/>
    <w:rPr>
      <w:rFonts w:asciiTheme="majorHAnsi" w:eastAsiaTheme="majorEastAsia" w:hAnsiTheme="majorHAnsi" w:cstheme="majorBidi"/>
      <w:color w:val="942A0E" w:themeColor="accent1" w:themeShade="7F"/>
    </w:rPr>
  </w:style>
  <w:style w:type="character" w:customStyle="1" w:styleId="Titre7Car">
    <w:name w:val="Titre 7 Car"/>
    <w:basedOn w:val="Policepardfaut"/>
    <w:link w:val="Titre7"/>
    <w:uiPriority w:val="9"/>
    <w:semiHidden/>
    <w:rPr>
      <w:rFonts w:asciiTheme="majorHAnsi" w:eastAsiaTheme="majorEastAsia" w:hAnsiTheme="majorHAnsi" w:cstheme="majorBidi"/>
      <w:i/>
      <w:iCs/>
      <w:color w:val="942A0E" w:themeColor="accent1" w:themeShade="7F"/>
    </w:rPr>
  </w:style>
  <w:style w:type="character" w:customStyle="1" w:styleId="Titre8Car">
    <w:name w:val="Titre 8 Car"/>
    <w:basedOn w:val="Policepardfaut"/>
    <w:link w:val="Titre8"/>
    <w:uiPriority w:val="9"/>
    <w:semiHidden/>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272727" w:themeColor="text1" w:themeTint="D8"/>
      <w:sz w:val="21"/>
      <w:szCs w:val="21"/>
    </w:rPr>
  </w:style>
  <w:style w:type="paragraph" w:styleId="Bibliographie">
    <w:name w:val="Bibliography"/>
    <w:basedOn w:val="Normal"/>
    <w:next w:val="Normal"/>
    <w:uiPriority w:val="37"/>
    <w:unhideWhenUsed/>
  </w:style>
  <w:style w:type="character" w:styleId="Titredulivre">
    <w:name w:val="Book Title"/>
    <w:basedOn w:val="Policepardfaut"/>
    <w:uiPriority w:val="33"/>
    <w:qFormat/>
    <w:rPr>
      <w:b/>
      <w:bCs/>
      <w:i/>
      <w:iCs/>
      <w:spacing w:val="5"/>
    </w:rPr>
  </w:style>
  <w:style w:type="paragraph" w:customStyle="1" w:styleId="Puce1">
    <w:name w:val="Puce 1"/>
    <w:basedOn w:val="Normal"/>
    <w:link w:val="Puce1Car"/>
    <w:qFormat/>
    <w:pPr>
      <w:numPr>
        <w:numId w:val="2"/>
      </w:numPr>
    </w:pPr>
  </w:style>
  <w:style w:type="paragraph" w:customStyle="1" w:styleId="Puce2">
    <w:name w:val="Puce 2"/>
    <w:basedOn w:val="Normal"/>
    <w:link w:val="Puce2Car"/>
    <w:qFormat/>
    <w:pPr>
      <w:numPr>
        <w:numId w:val="3"/>
      </w:numPr>
      <w:ind w:left="1037" w:hanging="357"/>
    </w:pPr>
  </w:style>
  <w:style w:type="character" w:customStyle="1" w:styleId="Puce1Car">
    <w:name w:val="Puce 1 Car"/>
    <w:basedOn w:val="Policepardfaut"/>
    <w:link w:val="Puce1"/>
    <w:qFormat/>
    <w:rPr>
      <w:rFonts w:ascii="Arial" w:hAnsi="Arial"/>
      <w:color w:val="292574" w:themeColor="accent2"/>
    </w:rPr>
  </w:style>
  <w:style w:type="paragraph" w:styleId="Tabledesillustrations">
    <w:name w:val="table of figures"/>
    <w:basedOn w:val="Normal"/>
    <w:next w:val="Normal"/>
    <w:uiPriority w:val="99"/>
    <w:unhideWhenUsed/>
  </w:style>
  <w:style w:type="character" w:customStyle="1" w:styleId="Puce2Car">
    <w:name w:val="Puce 2 Car"/>
    <w:basedOn w:val="Policepardfaut"/>
    <w:link w:val="Puce2"/>
    <w:qFormat/>
    <w:rPr>
      <w:rFonts w:ascii="Arial" w:hAnsi="Arial"/>
      <w:color w:val="292574" w:themeColor="accent2"/>
    </w:rPr>
  </w:style>
  <w:style w:type="paragraph" w:customStyle="1" w:styleId="Exergue">
    <w:name w:val="Exergue"/>
    <w:basedOn w:val="Normal"/>
    <w:link w:val="ExergueCar"/>
    <w:qFormat/>
    <w:pPr>
      <w:pBdr>
        <w:top w:val="single" w:sz="4" w:space="10" w:color="EF7757" w:themeColor="accent1"/>
        <w:left w:val="single" w:sz="4" w:space="2" w:color="EF7757" w:themeColor="accent1"/>
        <w:bottom w:val="single" w:sz="4" w:space="10" w:color="EF7757" w:themeColor="accent1"/>
        <w:right w:val="single" w:sz="4" w:space="2" w:color="EF7757" w:themeColor="accent1"/>
      </w:pBdr>
      <w:shd w:val="clear" w:color="auto" w:fill="EF7757" w:themeFill="accent1"/>
    </w:pPr>
    <w:rPr>
      <w:color w:val="FFFFFF" w:themeColor="background1"/>
    </w:rPr>
  </w:style>
  <w:style w:type="character" w:customStyle="1" w:styleId="ExergueCar">
    <w:name w:val="Exergue Car"/>
    <w:basedOn w:val="Policepardfaut"/>
    <w:link w:val="Exergue"/>
    <w:qFormat/>
    <w:rPr>
      <w:rFonts w:ascii="Arial" w:hAnsi="Arial"/>
      <w:color w:val="FFFFFF" w:themeColor="background1"/>
      <w:shd w:val="clear" w:color="auto" w:fill="EF7757" w:themeFill="accent1"/>
    </w:rPr>
  </w:style>
  <w:style w:type="paragraph" w:styleId="TM1">
    <w:name w:val="toc 1"/>
    <w:basedOn w:val="Normal"/>
    <w:next w:val="Normal"/>
    <w:uiPriority w:val="39"/>
    <w:unhideWhenUsed/>
    <w:pPr>
      <w:tabs>
        <w:tab w:val="left" w:pos="440"/>
        <w:tab w:val="right" w:leader="dot" w:pos="9968"/>
      </w:tabs>
      <w:spacing w:after="100"/>
    </w:pPr>
    <w:rPr>
      <w:b/>
      <w:sz w:val="28"/>
    </w:rPr>
  </w:style>
  <w:style w:type="paragraph" w:styleId="TM2">
    <w:name w:val="toc 2"/>
    <w:basedOn w:val="Normal"/>
    <w:next w:val="Normal"/>
    <w:uiPriority w:val="39"/>
    <w:unhideWhenUsed/>
    <w:pPr>
      <w:spacing w:after="100"/>
      <w:ind w:left="220"/>
    </w:pPr>
    <w:rPr>
      <w:b/>
      <w:sz w:val="24"/>
    </w:rPr>
  </w:style>
  <w:style w:type="paragraph" w:styleId="TM3">
    <w:name w:val="toc 3"/>
    <w:basedOn w:val="Normal"/>
    <w:next w:val="Normal"/>
    <w:uiPriority w:val="39"/>
    <w:unhideWhenUsed/>
    <w:pPr>
      <w:spacing w:after="100"/>
      <w:ind w:left="440"/>
    </w:pPr>
  </w:style>
  <w:style w:type="character" w:styleId="Textedelespacerserv">
    <w:name w:val="Placeholder Text"/>
    <w:basedOn w:val="Policepardfaut"/>
    <w:uiPriority w:val="99"/>
    <w:semiHidden/>
    <w:rPr>
      <w:color w:val="808080"/>
    </w:rPr>
  </w:style>
  <w:style w:type="paragraph" w:customStyle="1" w:styleId="Rapport">
    <w:name w:val="Rapport"/>
    <w:basedOn w:val="Sous-titre"/>
    <w:link w:val="RapportCar"/>
    <w:qFormat/>
    <w:pPr>
      <w:spacing w:before="8600"/>
    </w:pPr>
    <w:rPr>
      <w:caps/>
    </w:rPr>
  </w:style>
  <w:style w:type="character" w:customStyle="1" w:styleId="RapportCar">
    <w:name w:val="Rapport Car"/>
    <w:basedOn w:val="Sous-titreCar"/>
    <w:link w:val="Rapport"/>
    <w:rPr>
      <w:rFonts w:ascii="Arial" w:eastAsiaTheme="minorEastAsia" w:hAnsi="Arial"/>
      <w:b/>
      <w:bCs/>
      <w:caps/>
      <w:color w:val="FFFFFF" w:themeColor="background1"/>
      <w:spacing w:val="15"/>
      <w:sz w:val="32"/>
      <w:szCs w:val="36"/>
    </w:rPr>
  </w:style>
  <w:style w:type="paragraph" w:customStyle="1" w:styleId="NormalNoir">
    <w:name w:val="Normal Noir"/>
    <w:link w:val="NormalNoirCar"/>
    <w:qFormat/>
    <w:pPr>
      <w:spacing w:before="120" w:after="120"/>
      <w:jc w:val="both"/>
    </w:pPr>
    <w:rPr>
      <w:rFonts w:ascii="Arial" w:hAnsi="Arial"/>
      <w:color w:val="000000" w:themeColor="text1"/>
    </w:rPr>
  </w:style>
  <w:style w:type="paragraph" w:customStyle="1" w:styleId="Puce1noir">
    <w:name w:val="Puce 1noir"/>
    <w:basedOn w:val="Puce1"/>
    <w:link w:val="Puce1noirCar"/>
    <w:qFormat/>
    <w:pPr>
      <w:numPr>
        <w:numId w:val="4"/>
      </w:numPr>
      <w:ind w:left="714" w:hanging="357"/>
    </w:pPr>
    <w:rPr>
      <w:color w:val="000000" w:themeColor="text1"/>
    </w:rPr>
  </w:style>
  <w:style w:type="character" w:customStyle="1" w:styleId="NormalNoirCar">
    <w:name w:val="Normal Noir Car"/>
    <w:basedOn w:val="Policepardfaut"/>
    <w:link w:val="NormalNoir"/>
    <w:qFormat/>
    <w:rPr>
      <w:rFonts w:ascii="Arial" w:hAnsi="Arial"/>
      <w:color w:val="000000" w:themeColor="text1"/>
    </w:rPr>
  </w:style>
  <w:style w:type="paragraph" w:customStyle="1" w:styleId="Puce2noir">
    <w:name w:val="Puce 2noir"/>
    <w:basedOn w:val="Puce2"/>
    <w:link w:val="Puce2noirCar"/>
    <w:qFormat/>
    <w:pPr>
      <w:numPr>
        <w:numId w:val="5"/>
      </w:numPr>
      <w:ind w:left="1037" w:hanging="357"/>
    </w:pPr>
    <w:rPr>
      <w:color w:val="000000" w:themeColor="text1"/>
    </w:rPr>
  </w:style>
  <w:style w:type="character" w:customStyle="1" w:styleId="Puce1noirCar">
    <w:name w:val="Puce 1noir Car"/>
    <w:basedOn w:val="Puce1Car"/>
    <w:link w:val="Puce1noir"/>
    <w:rPr>
      <w:rFonts w:ascii="Arial" w:hAnsi="Arial"/>
      <w:color w:val="000000" w:themeColor="text1"/>
    </w:rPr>
  </w:style>
  <w:style w:type="character" w:customStyle="1" w:styleId="Puce2noirCar">
    <w:name w:val="Puce 2noir Car"/>
    <w:basedOn w:val="Puce2Car"/>
    <w:link w:val="Puce2noir"/>
    <w:rPr>
      <w:rFonts w:ascii="Arial" w:hAnsi="Arial"/>
      <w:color w:val="000000" w:themeColor="text1"/>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rPr>
      <w:sz w:val="20"/>
      <w:szCs w:val="20"/>
    </w:rPr>
  </w:style>
  <w:style w:type="character" w:customStyle="1" w:styleId="CommentaireCar">
    <w:name w:val="Commentaire Car"/>
    <w:basedOn w:val="Policepardfaut"/>
    <w:link w:val="Commentaire"/>
    <w:uiPriority w:val="99"/>
    <w:rPr>
      <w:rFonts w:ascii="Arial" w:hAnsi="Arial"/>
      <w:color w:val="292574" w:themeColor="accent2"/>
      <w:sz w:val="20"/>
      <w:szCs w:val="20"/>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Arial" w:hAnsi="Arial"/>
      <w:b/>
      <w:bCs/>
      <w:color w:val="292574" w:themeColor="accent2"/>
      <w:sz w:val="20"/>
      <w:szCs w:val="20"/>
    </w:rPr>
  </w:style>
  <w:style w:type="table" w:styleId="TableauGrille5Fonc-Accentuation1">
    <w:name w:val="Grid Table 5 Dark Accent 1"/>
    <w:basedOn w:val="Tableau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3DD"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EF7757"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EF7757"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EF7757"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EF7757" w:themeFill="accent1"/>
      </w:tcPr>
    </w:tblStylePr>
    <w:tblStylePr w:type="band1Vert">
      <w:tblPr/>
      <w:tcPr>
        <w:shd w:val="clear" w:color="auto" w:fill="F8C8BB" w:themeFill="accent1" w:themeFillTint="66"/>
      </w:tcPr>
    </w:tblStylePr>
    <w:tblStylePr w:type="band1Horz">
      <w:tblPr/>
      <w:tcPr>
        <w:shd w:val="clear" w:color="auto" w:fill="F8C8BB" w:themeFill="accent1" w:themeFillTint="66"/>
      </w:tcPr>
    </w:tblStylePr>
  </w:style>
  <w:style w:type="table" w:styleId="TableauGrille5Fonc-Accentuation2">
    <w:name w:val="Grid Table 5 Dark Accent 2"/>
    <w:basedOn w:val="Tableau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C8ED"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292574"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292574"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292574"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292574" w:themeFill="accent2"/>
      </w:tcPr>
    </w:tblStylePr>
    <w:tblStylePr w:type="band1Vert">
      <w:tblPr/>
      <w:tcPr>
        <w:shd w:val="clear" w:color="auto" w:fill="9592DC" w:themeFill="accent2" w:themeFillTint="66"/>
      </w:tcPr>
    </w:tblStylePr>
    <w:tblStylePr w:type="band1Horz">
      <w:tblPr/>
      <w:tcPr>
        <w:shd w:val="clear" w:color="auto" w:fill="9592DC" w:themeFill="accent2" w:themeFillTint="66"/>
      </w:tcPr>
    </w:tblStylePr>
  </w:style>
  <w:style w:type="character" w:customStyle="1" w:styleId="LienInternet">
    <w:name w:val="Lien Internet"/>
    <w:uiPriority w:val="99"/>
    <w:rsid w:val="007F36C4"/>
    <w:rPr>
      <w:rFonts w:ascii="Arial" w:hAnsi="Arial"/>
      <w:color w:val="000080"/>
      <w:sz w:val="22"/>
      <w:u w:val="single"/>
    </w:rPr>
  </w:style>
  <w:style w:type="character" w:styleId="Numrodepage">
    <w:name w:val="page number"/>
    <w:basedOn w:val="Policepardfaut"/>
    <w:uiPriority w:val="99"/>
    <w:semiHidden/>
    <w:unhideWhenUsed/>
    <w:rsid w:val="004A5FDC"/>
  </w:style>
  <w:style w:type="paragraph" w:styleId="Textedebulles">
    <w:name w:val="Balloon Text"/>
    <w:basedOn w:val="Normal"/>
    <w:link w:val="TextedebullesCar"/>
    <w:uiPriority w:val="99"/>
    <w:semiHidden/>
    <w:unhideWhenUsed/>
    <w:rsid w:val="001E2BCB"/>
    <w:rPr>
      <w:rFonts w:ascii="Segoe UI" w:hAnsi="Segoe UI" w:cs="Segoe UI"/>
      <w:sz w:val="18"/>
      <w:szCs w:val="18"/>
    </w:rPr>
  </w:style>
  <w:style w:type="character" w:customStyle="1" w:styleId="TextedebullesCar">
    <w:name w:val="Texte de bulles Car"/>
    <w:basedOn w:val="Policepardfaut"/>
    <w:link w:val="Textedebulles"/>
    <w:uiPriority w:val="99"/>
    <w:semiHidden/>
    <w:rsid w:val="001E2BCB"/>
    <w:rPr>
      <w:rFonts w:ascii="Segoe UI" w:hAnsi="Segoe UI" w:cs="Segoe UI"/>
      <w:color w:val="292574" w:themeColor="accent2"/>
      <w:sz w:val="18"/>
      <w:szCs w:val="18"/>
    </w:rPr>
  </w:style>
  <w:style w:type="paragraph" w:styleId="NormalWeb">
    <w:name w:val="Normal (Web)"/>
    <w:basedOn w:val="Normal"/>
    <w:uiPriority w:val="99"/>
    <w:unhideWhenUsed/>
    <w:rsid w:val="00F476E5"/>
    <w:pPr>
      <w:spacing w:before="100" w:beforeAutospacing="1" w:after="100" w:afterAutospacing="1"/>
      <w:jc w:val="left"/>
    </w:pPr>
    <w:rPr>
      <w:rFonts w:ascii="Times New Roman" w:eastAsia="Times New Roman" w:hAnsi="Times New Roman" w:cs="Times New Roman"/>
      <w:color w:val="auto"/>
      <w:sz w:val="24"/>
      <w:szCs w:val="24"/>
      <w:lang w:eastAsia="fr-FR"/>
    </w:rPr>
  </w:style>
  <w:style w:type="character" w:customStyle="1" w:styleId="Caractresdenotedebasdepage">
    <w:name w:val="Caractères de note de bas de page"/>
    <w:basedOn w:val="Policepardfaut"/>
    <w:uiPriority w:val="99"/>
    <w:qFormat/>
    <w:rsid w:val="00075CCA"/>
    <w:rPr>
      <w:vertAlign w:val="superscript"/>
    </w:rPr>
  </w:style>
  <w:style w:type="paragraph" w:customStyle="1" w:styleId="Default">
    <w:name w:val="Default"/>
    <w:qFormat/>
    <w:rsid w:val="00075CCA"/>
    <w:pPr>
      <w:widowControl w:val="0"/>
      <w:suppressAutoHyphens/>
    </w:pPr>
    <w:rPr>
      <w:rFonts w:ascii="Arial" w:eastAsia="Calibri" w:hAnsi="Arial" w:cs="Times New Roman"/>
      <w:color w:val="000000"/>
      <w:sz w:val="24"/>
    </w:rPr>
  </w:style>
  <w:style w:type="character" w:styleId="lev">
    <w:name w:val="Strong"/>
    <w:uiPriority w:val="22"/>
    <w:qFormat/>
    <w:rsid w:val="00075CCA"/>
    <w:rPr>
      <w:b/>
      <w:bCs/>
    </w:rPr>
  </w:style>
  <w:style w:type="paragraph" w:customStyle="1" w:styleId="Contenudecadre">
    <w:name w:val="Contenu de cadre"/>
    <w:basedOn w:val="Normal"/>
    <w:qFormat/>
    <w:rsid w:val="004C51D4"/>
    <w:rPr>
      <w:rFonts w:eastAsia="Calibri" w:cs="Arial"/>
    </w:rPr>
  </w:style>
  <w:style w:type="character" w:customStyle="1" w:styleId="hotkey-layer">
    <w:name w:val="hotkey-layer"/>
    <w:basedOn w:val="Policepardfaut"/>
    <w:rsid w:val="009B638F"/>
  </w:style>
  <w:style w:type="table" w:styleId="TableauGrille5Fonc-Accentuation5">
    <w:name w:val="Grid Table 5 Dark Accent 5"/>
    <w:basedOn w:val="TableauNormal"/>
    <w:uiPriority w:val="50"/>
    <w:rsid w:val="005F3CAA"/>
    <w:pPr>
      <w:suppressAutoHyphens/>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EAF5"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E97C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E97C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E97C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E97CE" w:themeFill="accent5"/>
      </w:tcPr>
    </w:tblStylePr>
    <w:tblStylePr w:type="band1Vert">
      <w:tblPr/>
      <w:tcPr>
        <w:shd w:val="clear" w:color="auto" w:fill="CBD5EB" w:themeFill="accent5" w:themeFillTint="66"/>
      </w:tcPr>
    </w:tblStylePr>
    <w:tblStylePr w:type="band1Horz">
      <w:tblPr/>
      <w:tcPr>
        <w:shd w:val="clear" w:color="auto" w:fill="CBD5EB" w:themeFill="accent5" w:themeFillTint="66"/>
      </w:tcPr>
    </w:tblStylePr>
  </w:style>
  <w:style w:type="character" w:styleId="Accentuationintense">
    <w:name w:val="Intense Emphasis"/>
    <w:basedOn w:val="Policepardfaut"/>
    <w:uiPriority w:val="21"/>
    <w:qFormat/>
    <w:rsid w:val="00D33D11"/>
    <w:rPr>
      <w:i/>
      <w:iCs/>
      <w:color w:val="EF7757" w:themeColor="accent1"/>
    </w:rPr>
  </w:style>
  <w:style w:type="paragraph" w:customStyle="1" w:styleId="font-claude-response-body">
    <w:name w:val="font-claude-response-body"/>
    <w:basedOn w:val="Normal"/>
    <w:rsid w:val="00623FF0"/>
    <w:pPr>
      <w:spacing w:before="100" w:beforeAutospacing="1" w:after="100" w:afterAutospacing="1"/>
      <w:jc w:val="left"/>
    </w:pPr>
    <w:rPr>
      <w:rFonts w:ascii="Times New Roman" w:eastAsia="Times New Roman" w:hAnsi="Times New Roman" w:cs="Times New Roman"/>
      <w:color w:val="auto"/>
      <w:sz w:val="24"/>
      <w:szCs w:val="24"/>
      <w:lang w:eastAsia="fr-FR"/>
    </w:rPr>
  </w:style>
  <w:style w:type="character" w:styleId="Accentuation">
    <w:name w:val="Emphasis"/>
    <w:basedOn w:val="Policepardfaut"/>
    <w:uiPriority w:val="20"/>
    <w:qFormat/>
    <w:rsid w:val="00623FF0"/>
    <w:rPr>
      <w:i/>
      <w:iCs/>
    </w:rPr>
  </w:style>
  <w:style w:type="paragraph" w:customStyle="1" w:styleId="whitespace-normal">
    <w:name w:val="whitespace-normal"/>
    <w:basedOn w:val="Normal"/>
    <w:rsid w:val="00623FF0"/>
    <w:pPr>
      <w:spacing w:before="100" w:beforeAutospacing="1" w:after="100" w:afterAutospacing="1"/>
      <w:jc w:val="left"/>
    </w:pPr>
    <w:rPr>
      <w:rFonts w:ascii="Times New Roman" w:eastAsia="Times New Roman" w:hAnsi="Times New Roman" w:cs="Times New Roman"/>
      <w:color w:val="auto"/>
      <w:sz w:val="24"/>
      <w:szCs w:val="24"/>
      <w:lang w:eastAsia="fr-FR"/>
    </w:rPr>
  </w:style>
  <w:style w:type="paragraph" w:styleId="Rvision">
    <w:name w:val="Revision"/>
    <w:hidden/>
    <w:uiPriority w:val="99"/>
    <w:semiHidden/>
    <w:rsid w:val="009F4236"/>
    <w:rPr>
      <w:rFonts w:ascii="Arial" w:hAnsi="Arial"/>
      <w:color w:val="292574" w:themeColor="accent2"/>
    </w:rPr>
  </w:style>
  <w:style w:type="character" w:styleId="Lienhypertextesuivivisit">
    <w:name w:val="FollowedHyperlink"/>
    <w:basedOn w:val="Policepardfaut"/>
    <w:uiPriority w:val="99"/>
    <w:semiHidden/>
    <w:unhideWhenUsed/>
    <w:rsid w:val="00D64D3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677410">
      <w:bodyDiv w:val="1"/>
      <w:marLeft w:val="0"/>
      <w:marRight w:val="0"/>
      <w:marTop w:val="0"/>
      <w:marBottom w:val="0"/>
      <w:divBdr>
        <w:top w:val="none" w:sz="0" w:space="0" w:color="auto"/>
        <w:left w:val="none" w:sz="0" w:space="0" w:color="auto"/>
        <w:bottom w:val="none" w:sz="0" w:space="0" w:color="auto"/>
        <w:right w:val="none" w:sz="0" w:space="0" w:color="auto"/>
      </w:divBdr>
    </w:div>
    <w:div w:id="227569650">
      <w:bodyDiv w:val="1"/>
      <w:marLeft w:val="0"/>
      <w:marRight w:val="0"/>
      <w:marTop w:val="0"/>
      <w:marBottom w:val="0"/>
      <w:divBdr>
        <w:top w:val="none" w:sz="0" w:space="0" w:color="auto"/>
        <w:left w:val="none" w:sz="0" w:space="0" w:color="auto"/>
        <w:bottom w:val="none" w:sz="0" w:space="0" w:color="auto"/>
        <w:right w:val="none" w:sz="0" w:space="0" w:color="auto"/>
      </w:divBdr>
    </w:div>
    <w:div w:id="499083538">
      <w:bodyDiv w:val="1"/>
      <w:marLeft w:val="0"/>
      <w:marRight w:val="0"/>
      <w:marTop w:val="0"/>
      <w:marBottom w:val="0"/>
      <w:divBdr>
        <w:top w:val="none" w:sz="0" w:space="0" w:color="auto"/>
        <w:left w:val="none" w:sz="0" w:space="0" w:color="auto"/>
        <w:bottom w:val="none" w:sz="0" w:space="0" w:color="auto"/>
        <w:right w:val="none" w:sz="0" w:space="0" w:color="auto"/>
      </w:divBdr>
    </w:div>
    <w:div w:id="511069859">
      <w:bodyDiv w:val="1"/>
      <w:marLeft w:val="0"/>
      <w:marRight w:val="0"/>
      <w:marTop w:val="0"/>
      <w:marBottom w:val="0"/>
      <w:divBdr>
        <w:top w:val="none" w:sz="0" w:space="0" w:color="auto"/>
        <w:left w:val="none" w:sz="0" w:space="0" w:color="auto"/>
        <w:bottom w:val="none" w:sz="0" w:space="0" w:color="auto"/>
        <w:right w:val="none" w:sz="0" w:space="0" w:color="auto"/>
      </w:divBdr>
    </w:div>
    <w:div w:id="648557553">
      <w:bodyDiv w:val="1"/>
      <w:marLeft w:val="0"/>
      <w:marRight w:val="0"/>
      <w:marTop w:val="0"/>
      <w:marBottom w:val="0"/>
      <w:divBdr>
        <w:top w:val="none" w:sz="0" w:space="0" w:color="auto"/>
        <w:left w:val="none" w:sz="0" w:space="0" w:color="auto"/>
        <w:bottom w:val="none" w:sz="0" w:space="0" w:color="auto"/>
        <w:right w:val="none" w:sz="0" w:space="0" w:color="auto"/>
      </w:divBdr>
    </w:div>
    <w:div w:id="733742402">
      <w:bodyDiv w:val="1"/>
      <w:marLeft w:val="0"/>
      <w:marRight w:val="0"/>
      <w:marTop w:val="0"/>
      <w:marBottom w:val="0"/>
      <w:divBdr>
        <w:top w:val="none" w:sz="0" w:space="0" w:color="auto"/>
        <w:left w:val="none" w:sz="0" w:space="0" w:color="auto"/>
        <w:bottom w:val="none" w:sz="0" w:space="0" w:color="auto"/>
        <w:right w:val="none" w:sz="0" w:space="0" w:color="auto"/>
      </w:divBdr>
    </w:div>
    <w:div w:id="735052782">
      <w:bodyDiv w:val="1"/>
      <w:marLeft w:val="0"/>
      <w:marRight w:val="0"/>
      <w:marTop w:val="0"/>
      <w:marBottom w:val="0"/>
      <w:divBdr>
        <w:top w:val="none" w:sz="0" w:space="0" w:color="auto"/>
        <w:left w:val="none" w:sz="0" w:space="0" w:color="auto"/>
        <w:bottom w:val="none" w:sz="0" w:space="0" w:color="auto"/>
        <w:right w:val="none" w:sz="0" w:space="0" w:color="auto"/>
      </w:divBdr>
    </w:div>
    <w:div w:id="738866711">
      <w:bodyDiv w:val="1"/>
      <w:marLeft w:val="0"/>
      <w:marRight w:val="0"/>
      <w:marTop w:val="0"/>
      <w:marBottom w:val="0"/>
      <w:divBdr>
        <w:top w:val="none" w:sz="0" w:space="0" w:color="auto"/>
        <w:left w:val="none" w:sz="0" w:space="0" w:color="auto"/>
        <w:bottom w:val="none" w:sz="0" w:space="0" w:color="auto"/>
        <w:right w:val="none" w:sz="0" w:space="0" w:color="auto"/>
      </w:divBdr>
    </w:div>
    <w:div w:id="938413079">
      <w:bodyDiv w:val="1"/>
      <w:marLeft w:val="0"/>
      <w:marRight w:val="0"/>
      <w:marTop w:val="0"/>
      <w:marBottom w:val="0"/>
      <w:divBdr>
        <w:top w:val="none" w:sz="0" w:space="0" w:color="auto"/>
        <w:left w:val="none" w:sz="0" w:space="0" w:color="auto"/>
        <w:bottom w:val="none" w:sz="0" w:space="0" w:color="auto"/>
        <w:right w:val="none" w:sz="0" w:space="0" w:color="auto"/>
      </w:divBdr>
    </w:div>
    <w:div w:id="1164586286">
      <w:bodyDiv w:val="1"/>
      <w:marLeft w:val="0"/>
      <w:marRight w:val="0"/>
      <w:marTop w:val="0"/>
      <w:marBottom w:val="0"/>
      <w:divBdr>
        <w:top w:val="none" w:sz="0" w:space="0" w:color="auto"/>
        <w:left w:val="none" w:sz="0" w:space="0" w:color="auto"/>
        <w:bottom w:val="none" w:sz="0" w:space="0" w:color="auto"/>
        <w:right w:val="none" w:sz="0" w:space="0" w:color="auto"/>
      </w:divBdr>
    </w:div>
    <w:div w:id="1416396745">
      <w:bodyDiv w:val="1"/>
      <w:marLeft w:val="0"/>
      <w:marRight w:val="0"/>
      <w:marTop w:val="0"/>
      <w:marBottom w:val="0"/>
      <w:divBdr>
        <w:top w:val="none" w:sz="0" w:space="0" w:color="auto"/>
        <w:left w:val="none" w:sz="0" w:space="0" w:color="auto"/>
        <w:bottom w:val="none" w:sz="0" w:space="0" w:color="auto"/>
        <w:right w:val="none" w:sz="0" w:space="0" w:color="auto"/>
      </w:divBdr>
    </w:div>
    <w:div w:id="1732266790">
      <w:bodyDiv w:val="1"/>
      <w:marLeft w:val="0"/>
      <w:marRight w:val="0"/>
      <w:marTop w:val="0"/>
      <w:marBottom w:val="0"/>
      <w:divBdr>
        <w:top w:val="none" w:sz="0" w:space="0" w:color="auto"/>
        <w:left w:val="none" w:sz="0" w:space="0" w:color="auto"/>
        <w:bottom w:val="none" w:sz="0" w:space="0" w:color="auto"/>
        <w:right w:val="none" w:sz="0" w:space="0" w:color="auto"/>
      </w:divBdr>
    </w:div>
    <w:div w:id="1770353569">
      <w:bodyDiv w:val="1"/>
      <w:marLeft w:val="0"/>
      <w:marRight w:val="0"/>
      <w:marTop w:val="0"/>
      <w:marBottom w:val="0"/>
      <w:divBdr>
        <w:top w:val="none" w:sz="0" w:space="0" w:color="auto"/>
        <w:left w:val="none" w:sz="0" w:space="0" w:color="auto"/>
        <w:bottom w:val="none" w:sz="0" w:space="0" w:color="auto"/>
        <w:right w:val="none" w:sz="0" w:space="0" w:color="auto"/>
      </w:divBdr>
    </w:div>
    <w:div w:id="1873030271">
      <w:bodyDiv w:val="1"/>
      <w:marLeft w:val="0"/>
      <w:marRight w:val="0"/>
      <w:marTop w:val="0"/>
      <w:marBottom w:val="0"/>
      <w:divBdr>
        <w:top w:val="none" w:sz="0" w:space="0" w:color="auto"/>
        <w:left w:val="none" w:sz="0" w:space="0" w:color="auto"/>
        <w:bottom w:val="none" w:sz="0" w:space="0" w:color="auto"/>
        <w:right w:val="none" w:sz="0" w:space="0" w:color="auto"/>
      </w:divBdr>
    </w:div>
    <w:div w:id="1946618115">
      <w:bodyDiv w:val="1"/>
      <w:marLeft w:val="0"/>
      <w:marRight w:val="0"/>
      <w:marTop w:val="0"/>
      <w:marBottom w:val="0"/>
      <w:divBdr>
        <w:top w:val="none" w:sz="0" w:space="0" w:color="auto"/>
        <w:left w:val="none" w:sz="0" w:space="0" w:color="auto"/>
        <w:bottom w:val="none" w:sz="0" w:space="0" w:color="auto"/>
        <w:right w:val="none" w:sz="0" w:space="0" w:color="auto"/>
      </w:divBdr>
    </w:div>
    <w:div w:id="1964380000">
      <w:bodyDiv w:val="1"/>
      <w:marLeft w:val="0"/>
      <w:marRight w:val="0"/>
      <w:marTop w:val="0"/>
      <w:marBottom w:val="0"/>
      <w:divBdr>
        <w:top w:val="none" w:sz="0" w:space="0" w:color="auto"/>
        <w:left w:val="none" w:sz="0" w:space="0" w:color="auto"/>
        <w:bottom w:val="none" w:sz="0" w:space="0" w:color="auto"/>
        <w:right w:val="none" w:sz="0" w:space="0" w:color="auto"/>
      </w:divBdr>
    </w:div>
    <w:div w:id="1976636798">
      <w:bodyDiv w:val="1"/>
      <w:marLeft w:val="0"/>
      <w:marRight w:val="0"/>
      <w:marTop w:val="0"/>
      <w:marBottom w:val="0"/>
      <w:divBdr>
        <w:top w:val="none" w:sz="0" w:space="0" w:color="auto"/>
        <w:left w:val="none" w:sz="0" w:space="0" w:color="auto"/>
        <w:bottom w:val="none" w:sz="0" w:space="0" w:color="auto"/>
        <w:right w:val="none" w:sz="0" w:space="0" w:color="auto"/>
      </w:divBdr>
    </w:div>
    <w:div w:id="2021733414">
      <w:bodyDiv w:val="1"/>
      <w:marLeft w:val="0"/>
      <w:marRight w:val="0"/>
      <w:marTop w:val="0"/>
      <w:marBottom w:val="0"/>
      <w:divBdr>
        <w:top w:val="none" w:sz="0" w:space="0" w:color="auto"/>
        <w:left w:val="none" w:sz="0" w:space="0" w:color="auto"/>
        <w:bottom w:val="none" w:sz="0" w:space="0" w:color="auto"/>
        <w:right w:val="none" w:sz="0" w:space="0" w:color="auto"/>
      </w:divBdr>
    </w:div>
    <w:div w:id="2021736608">
      <w:bodyDiv w:val="1"/>
      <w:marLeft w:val="0"/>
      <w:marRight w:val="0"/>
      <w:marTop w:val="0"/>
      <w:marBottom w:val="0"/>
      <w:divBdr>
        <w:top w:val="none" w:sz="0" w:space="0" w:color="auto"/>
        <w:left w:val="none" w:sz="0" w:space="0" w:color="auto"/>
        <w:bottom w:val="none" w:sz="0" w:space="0" w:color="auto"/>
        <w:right w:val="none" w:sz="0" w:space="0" w:color="auto"/>
      </w:divBdr>
      <w:divsChild>
        <w:div w:id="14447622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s>
</file>

<file path=word/_rels/footnotes.xml.rels><?xml version="1.0" encoding="UTF-8" standalone="yes"?>
<Relationships xmlns="http://schemas.openxmlformats.org/package/2006/relationships"><Relationship Id="rId8" Type="http://schemas.openxmlformats.org/officeDocument/2006/relationships/hyperlink" Target="https://www.adaptation-changement-climatique.gouv.fr/dossiers-thematiques/milieux/mer-et-littoral" TargetMode="External"/><Relationship Id="rId3" Type="http://schemas.openxmlformats.org/officeDocument/2006/relationships/hyperlink" Target="https://www.brgm.fr/fr/reference-projet-acheve/guyaclimat-impact-changement-climatique-differents-parametres-physiques" TargetMode="External"/><Relationship Id="rId7" Type="http://schemas.openxmlformats.org/officeDocument/2006/relationships/hyperlink" Target="https://www.adaptation-changement-climatique.gouv.fr/agir/espace-documentaire/changement-climatique-en-guyane" TargetMode="External"/><Relationship Id="rId2" Type="http://schemas.openxmlformats.org/officeDocument/2006/relationships/hyperlink" Target="https://www.drias-climat.fr/accompagnement/sections/488" TargetMode="External"/><Relationship Id="rId1" Type="http://schemas.openxmlformats.org/officeDocument/2006/relationships/hyperlink" Target="https://doc.cerema.fr/doc/SYRACUSE/597667/fiche-n-2-dix-etapes-pour-ameliorer-la-resilience-de-vos-infrastructures-de-transport-methode-approc" TargetMode="External"/><Relationship Id="rId6" Type="http://schemas.openxmlformats.org/officeDocument/2006/relationships/hyperlink" Target="https://observatoire-littoral-guyane.fr/changements-climatiques/" TargetMode="External"/><Relationship Id="rId5" Type="http://schemas.openxmlformats.org/officeDocument/2006/relationships/hyperlink" Target="https://www.audeg.fr/default/jacc.aspx?_lg=fr-FR" TargetMode="External"/><Relationship Id="rId4" Type="http://schemas.openxmlformats.org/officeDocument/2006/relationships/hyperlink" Target="https://www.brgm.fr/fr/reference-projet-acheve/guyaclimat-impact-changement-climatique-differents-parametres-physiques" TargetMode="External"/><Relationship Id="rId9" Type="http://schemas.openxmlformats.org/officeDocument/2006/relationships/hyperlink" Target="https://climate-adapt.eea.europa.eu/fr/metadata/case-studies/marine-and-coastal-ecosystem-restoration-for-climate-change-adaptation-in-the-caribbean-guadalupe-french-oversea-region"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CEREMA">
      <a:dk1>
        <a:sysClr val="windowText" lastClr="000000"/>
      </a:dk1>
      <a:lt1>
        <a:sysClr val="window" lastClr="FFFFFF"/>
      </a:lt1>
      <a:dk2>
        <a:srgbClr val="44546A"/>
      </a:dk2>
      <a:lt2>
        <a:srgbClr val="E7E6E6"/>
      </a:lt2>
      <a:accent1>
        <a:srgbClr val="EF7757"/>
      </a:accent1>
      <a:accent2>
        <a:srgbClr val="292574"/>
      </a:accent2>
      <a:accent3>
        <a:srgbClr val="B0CC4E"/>
      </a:accent3>
      <a:accent4>
        <a:srgbClr val="FDEB7D"/>
      </a:accent4>
      <a:accent5>
        <a:srgbClr val="7E97CE"/>
      </a:accent5>
      <a:accent6>
        <a:srgbClr val="60B46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Age22</b:Tag>
    <b:SourceType>Book</b:SourceType>
    <b:Guid>{17A87519-B718-4F37-B6E5-D4A13F44EC0A}</b:Guid>
    <b:Author>
      <b:Author>
        <b:NameList>
          <b:Person>
            <b:Last>Moreau</b:Last>
          </b:Person>
        </b:NameList>
      </b:Author>
    </b:Author>
    <b:Title>Word 365</b:Title>
    <b:Year>2022</b:Year>
    <b:City>Lyon</b:City>
    <b:RefOrder>1</b:RefOrder>
  </b:Source>
</b:Sources>
</file>

<file path=customXml/itemProps1.xml><?xml version="1.0" encoding="utf-8"?>
<ds:datastoreItem xmlns:ds="http://schemas.openxmlformats.org/officeDocument/2006/customXml" ds:itemID="{2A54FF56-CBAA-4355-BA41-05C7486D6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16627</Words>
  <Characters>91454</Characters>
  <Application>Microsoft Office Word</Application>
  <DocSecurity>0</DocSecurity>
  <Lines>762</Lines>
  <Paragraphs>215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TROUSSELLE</dc:creator>
  <cp:keywords/>
  <dc:description/>
  <cp:lastModifiedBy>Xavier ROBAUX (EA)</cp:lastModifiedBy>
  <cp:revision>2</cp:revision>
  <cp:lastPrinted>2026-05-21T15:40:00Z</cp:lastPrinted>
  <dcterms:created xsi:type="dcterms:W3CDTF">2026-07-22T16:35:00Z</dcterms:created>
  <dcterms:modified xsi:type="dcterms:W3CDTF">2026-07-22T16:35:00Z</dcterms:modified>
</cp:coreProperties>
</file>